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NormalTable"/>
        <w:tblW w:w="956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6079"/>
        <w:gridCol w:w="227"/>
        <w:gridCol w:w="1535"/>
        <w:gridCol w:w="1719"/>
      </w:tblGrid>
      <w:tr w:rsidR="00000000">
        <w:trPr>
          <w:trHeight w:val="27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 CYR" w:eastAsia="Arial CYR" w:hAnsi="Arial CYR"/>
                <w:sz w:val="20"/>
              </w:rPr>
              <w:t>ПОЯСНИТЕЛЬНАЯ ЗАПИСКА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25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КОДЫ</w:t>
            </w:r>
          </w:p>
        </w:tc>
      </w:tr>
      <w:tr w:rsidR="00000000">
        <w:trPr>
          <w:trHeight w:val="210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spacing w:line="21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0503760</w:t>
            </w:r>
          </w:p>
        </w:tc>
      </w:tr>
      <w:tr w:rsidR="00000000">
        <w:trPr>
          <w:trHeight w:val="32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                          на   1 января 2019 г.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01.01.2019</w:t>
            </w:r>
          </w:p>
        </w:tc>
      </w:tr>
      <w:tr w:rsidR="00000000">
        <w:trPr>
          <w:trHeight w:val="282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 xml:space="preserve">Учреждение </w:t>
            </w:r>
            <w:r>
              <w:rPr>
                <w:rFonts w:ascii="Courier New" w:eastAsia="Courier New" w:hAnsi="Courier New"/>
                <w:sz w:val="16"/>
                <w:u w:val="single"/>
              </w:rPr>
              <w:t>Муниципальное бюджетное общеобразовательное учреждение средняя общеобразовательная школа городского поселения "Рабочий п</w:t>
            </w:r>
            <w:r>
              <w:rPr>
                <w:rFonts w:ascii="Courier New" w:eastAsia="Courier New" w:hAnsi="Courier New"/>
                <w:sz w:val="16"/>
                <w:u w:val="single"/>
              </w:rPr>
              <w:t>оселок Октябрьский" Ванинского мунципального района Хабаровского края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 xml:space="preserve">по ОКПО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77268776</w:t>
            </w:r>
          </w:p>
        </w:tc>
      </w:tr>
      <w:tr w:rsidR="00000000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Обособленное подразделение  </w:t>
            </w:r>
            <w:r>
              <w:rPr>
                <w:rFonts w:ascii="Courier New" w:eastAsia="Courier New" w:hAnsi="Courier New"/>
                <w:sz w:val="16"/>
                <w:u w:val="single"/>
              </w:rPr>
              <w:t>Управление образования администрации Ванинского муниципального района Хабаровского края Хабаровского края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0"/>
              </w:rPr>
            </w:pPr>
          </w:p>
        </w:tc>
      </w:tr>
      <w:tr w:rsidR="00000000">
        <w:trPr>
          <w:trHeight w:val="42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Учредитель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086121</w:t>
            </w:r>
            <w:r>
              <w:rPr>
                <w:rFonts w:ascii="Courier New" w:eastAsia="Courier New" w:hAnsi="Courier New"/>
                <w:sz w:val="16"/>
              </w:rPr>
              <w:t>59</w:t>
            </w:r>
          </w:p>
        </w:tc>
      </w:tr>
      <w:tr w:rsidR="00000000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 xml:space="preserve">Наименование органа,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0"/>
              </w:rPr>
            </w:pPr>
          </w:p>
        </w:tc>
      </w:tr>
      <w:tr w:rsidR="00000000">
        <w:trPr>
          <w:trHeight w:val="21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осуществляющего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spacing w:line="195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spacing w:line="21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77268776</w:t>
            </w:r>
          </w:p>
        </w:tc>
      </w:tr>
      <w:tr w:rsidR="00000000">
        <w:trPr>
          <w:trHeight w:val="32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 xml:space="preserve">полномочия учредителя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803</w:t>
            </w:r>
          </w:p>
        </w:tc>
      </w:tr>
      <w:tr w:rsidR="00000000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Периодичность:    квартальная, годовая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32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к Балансу по форме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0503730</w:t>
            </w:r>
          </w:p>
        </w:tc>
      </w:tr>
      <w:tr w:rsidR="00000000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Единица измерения: руб.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383</w:t>
            </w:r>
          </w:p>
        </w:tc>
      </w:tr>
      <w:tr w:rsidR="00000000">
        <w:trPr>
          <w:trHeight w:val="282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</w:tr>
    </w:tbl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Муниципальное бюджетное общеобраз</w:t>
      </w:r>
      <w:r>
        <w:rPr>
          <w:rFonts w:ascii="Times New Roman" w:eastAsia="Times New Roman" w:hAnsi="Times New Roman"/>
          <w:color w:val="000000"/>
          <w:sz w:val="24"/>
        </w:rPr>
        <w:t>овательное учреждение средняя общеобразовательная школа городского поселения "Рабочий поселок Октябрьский" Ванинского муниципального района Хабаровского края является муниципальным бюджетным учреждением, руководствуется в своей деятельности Конституцией Ро</w:t>
      </w:r>
      <w:r>
        <w:rPr>
          <w:rFonts w:ascii="Times New Roman" w:eastAsia="Times New Roman" w:hAnsi="Times New Roman"/>
          <w:color w:val="000000"/>
          <w:sz w:val="24"/>
        </w:rPr>
        <w:t>ссийской Федерации, Законом РФ «Об образовании» и другими ФЗ, решениями Правительства РФ, постановлениями и распоряжениями Губернатора и Правительства Хабаровского края, распорядительными документами органов управления образования всех уровней, а также Уст</w:t>
      </w:r>
      <w:r>
        <w:rPr>
          <w:rFonts w:ascii="Times New Roman" w:eastAsia="Times New Roman" w:hAnsi="Times New Roman"/>
          <w:color w:val="000000"/>
          <w:sz w:val="24"/>
        </w:rPr>
        <w:t>авом и локальными правовыми актами СОШ.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МБОУ СОШ п.Октябрьский расположен по адресу: 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682890,</w:t>
      </w:r>
      <w:r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Хабаровский край, Ванинский район, п.Октябрьский, ул. Центральная, д. 1 А (юридический и фактический адрес).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A"/>
          <w:sz w:val="24"/>
        </w:rPr>
        <w:t xml:space="preserve">Учредителем </w:t>
      </w:r>
      <w:r>
        <w:rPr>
          <w:rFonts w:ascii="Times New Roman" w:eastAsia="Times New Roman" w:hAnsi="Times New Roman"/>
          <w:color w:val="000000"/>
          <w:sz w:val="24"/>
        </w:rPr>
        <w:t>МБОУ СОШ п.Октябрьский</w:t>
      </w:r>
      <w:r>
        <w:rPr>
          <w:rFonts w:ascii="Times New Roman" w:eastAsia="Times New Roman" w:hAnsi="Times New Roman"/>
          <w:color w:val="00000A"/>
          <w:sz w:val="24"/>
        </w:rPr>
        <w:t xml:space="preserve"> является Ванинский</w:t>
      </w:r>
      <w:r>
        <w:rPr>
          <w:rFonts w:ascii="Times New Roman" w:eastAsia="Times New Roman" w:hAnsi="Times New Roman"/>
          <w:color w:val="00000A"/>
          <w:sz w:val="24"/>
        </w:rPr>
        <w:t xml:space="preserve"> муниципальный район Хабаровского края в лице уполномоченного органа Управления образования администрации Ванинского муниципального района Хабаровского края.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A"/>
          <w:sz w:val="24"/>
        </w:rPr>
        <w:t>Учреждение является юридическим лицом, самостоятельно осуществляет финансово-хозяйственную деятель</w:t>
      </w:r>
      <w:r>
        <w:rPr>
          <w:rFonts w:ascii="Times New Roman" w:eastAsia="Times New Roman" w:hAnsi="Times New Roman"/>
          <w:color w:val="00000A"/>
          <w:sz w:val="24"/>
        </w:rPr>
        <w:t xml:space="preserve">ность, имеет самостоятельный баланс и лицевые счета, обладает обособленным имуществом, которое закреплено за ним на праве оперативного управления (недвижимое, особо ценное имущество). Собственником этого имущества является учредитель. Учреждение не вправе </w:t>
      </w:r>
      <w:r>
        <w:rPr>
          <w:rFonts w:ascii="Times New Roman" w:eastAsia="Times New Roman" w:hAnsi="Times New Roman"/>
          <w:color w:val="00000A"/>
          <w:sz w:val="24"/>
        </w:rPr>
        <w:t>совершать сделки, возможными последствиями которых является отчуждение или обременение закрепленного за ним имущества.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A"/>
          <w:sz w:val="24"/>
        </w:rPr>
        <w:t>Учреждение вправе от своего имени заключать договоры, приобретать и осуществлять имущественные и личные неимущественные права, нести отве</w:t>
      </w:r>
      <w:r>
        <w:rPr>
          <w:rFonts w:ascii="Times New Roman" w:eastAsia="Times New Roman" w:hAnsi="Times New Roman"/>
          <w:color w:val="00000A"/>
          <w:sz w:val="24"/>
        </w:rPr>
        <w:t xml:space="preserve">тственность, быть истцом и ответчиком в суде, арбитражном суде. 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Устав МБОУ СОШ п.Октябрьский в новой редакции утвержден постановлением администрации Ванинского муниципального района Хабаровского края от 04.08.2015 г. № 447 и зарегистрирован ИФНС РФ по Ван</w:t>
      </w:r>
      <w:r>
        <w:rPr>
          <w:rFonts w:ascii="Times New Roman" w:eastAsia="Times New Roman" w:hAnsi="Times New Roman"/>
          <w:color w:val="000000"/>
          <w:sz w:val="24"/>
        </w:rPr>
        <w:t>инскому району свидетельством сер. 27 № 0021532 от 02.04.2013 г.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МБОУ СОШ п.Октябрьский имеет бессрочную лицензию Министерства образования и науки Хабаровского края от 15 апреля 2015 года сер. 27ЛО1 № 0000918 № 1823.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Имеет свидетельство о государственной а</w:t>
      </w:r>
      <w:r>
        <w:rPr>
          <w:rFonts w:ascii="Times New Roman" w:eastAsia="Times New Roman" w:hAnsi="Times New Roman"/>
          <w:color w:val="000000"/>
          <w:sz w:val="24"/>
        </w:rPr>
        <w:t>ккредитации № 692 от 14 мая 2015 г. серия 27 А01 № 0000383 .</w:t>
      </w:r>
    </w:p>
    <w:p w:rsidR="00000000" w:rsidRDefault="007E5E32">
      <w:pPr>
        <w:numPr>
          <w:ilvl w:val="0"/>
          <w:numId w:val="1"/>
        </w:numPr>
        <w:spacing w:after="200" w:line="276" w:lineRule="auto"/>
        <w:jc w:val="center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Организационная структура учреждения.</w:t>
      </w:r>
    </w:p>
    <w:p w:rsidR="00000000" w:rsidRDefault="007E5E32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Сведения об основных направлениях деятельности (таблица №1)</w:t>
      </w:r>
    </w:p>
    <w:p w:rsidR="00000000" w:rsidRDefault="007E5E32">
      <w:pPr>
        <w:spacing w:after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A"/>
          <w:sz w:val="24"/>
        </w:rPr>
        <w:t xml:space="preserve">Основным предметом деятельности </w:t>
      </w:r>
      <w:r>
        <w:rPr>
          <w:rFonts w:ascii="Times New Roman" w:eastAsia="Times New Roman" w:hAnsi="Times New Roman"/>
          <w:color w:val="000000"/>
          <w:sz w:val="24"/>
        </w:rPr>
        <w:t xml:space="preserve">МБОУ СОШ п.Октябрьский </w:t>
      </w:r>
      <w:r>
        <w:rPr>
          <w:rFonts w:ascii="Times New Roman" w:eastAsia="Times New Roman" w:hAnsi="Times New Roman"/>
          <w:color w:val="00000A"/>
          <w:sz w:val="24"/>
        </w:rPr>
        <w:t xml:space="preserve">является </w:t>
      </w:r>
      <w:r>
        <w:rPr>
          <w:rFonts w:ascii="Times New Roman" w:eastAsia="Times New Roman" w:hAnsi="Times New Roman"/>
          <w:color w:val="000000"/>
          <w:sz w:val="24"/>
        </w:rPr>
        <w:t>реализация конституционного права</w:t>
      </w:r>
      <w:r>
        <w:rPr>
          <w:rFonts w:ascii="Times New Roman" w:eastAsia="Times New Roman" w:hAnsi="Times New Roman"/>
          <w:color w:val="000000"/>
          <w:sz w:val="24"/>
        </w:rPr>
        <w:t xml:space="preserve"> граждан Российской Федерации на получение общедоступного и бесплатного начального общего, основного общего и среднего общего образования в интересах человека, семьи, общества и государства. Образовательное учреждение осуществляет обучение и воспитание в и</w:t>
      </w:r>
      <w:r>
        <w:rPr>
          <w:rFonts w:ascii="Times New Roman" w:eastAsia="Times New Roman" w:hAnsi="Times New Roman"/>
          <w:color w:val="000000"/>
          <w:sz w:val="24"/>
        </w:rPr>
        <w:t>нтересах личности, общества, государства, обеспечивает охрану здоровья и создает благоприятные условия для разностороннего развития личности, в т. ч. возможности удовлетворения потребности обучающегося в самообразовании и получении дополнительного образова</w:t>
      </w:r>
      <w:r>
        <w:rPr>
          <w:rFonts w:ascii="Times New Roman" w:eastAsia="Times New Roman" w:hAnsi="Times New Roman"/>
          <w:color w:val="000000"/>
          <w:sz w:val="24"/>
        </w:rPr>
        <w:t xml:space="preserve">ния. </w:t>
      </w:r>
      <w:r>
        <w:rPr>
          <w:rFonts w:ascii="Times New Roman" w:eastAsia="Times New Roman" w:hAnsi="Times New Roman"/>
          <w:color w:val="00000A"/>
          <w:sz w:val="24"/>
        </w:rPr>
        <w:t>Обучение и воспитание в образовательном учреждении ведётся на русском языке.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A"/>
          <w:sz w:val="24"/>
        </w:rPr>
        <w:t xml:space="preserve">Среднегодовая численность учащихся </w:t>
      </w:r>
      <w:r>
        <w:rPr>
          <w:rFonts w:ascii="Times New Roman" w:eastAsia="Times New Roman" w:hAnsi="Times New Roman"/>
          <w:color w:val="000000"/>
          <w:sz w:val="24"/>
        </w:rPr>
        <w:t xml:space="preserve">МБОУ СОШ п.Октябрьский </w:t>
      </w:r>
      <w:r>
        <w:rPr>
          <w:rFonts w:ascii="Times New Roman" w:eastAsia="Times New Roman" w:hAnsi="Times New Roman"/>
          <w:color w:val="00000A"/>
          <w:sz w:val="24"/>
        </w:rPr>
        <w:t>по состоянию на 01.01.2019 г.составляет 604 ребенка.</w:t>
      </w:r>
    </w:p>
    <w:p w:rsidR="00000000" w:rsidRDefault="007E5E32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Основными целями и задачами деятельности МБОУ СОШ п.Октябрьский</w:t>
      </w:r>
      <w:r>
        <w:rPr>
          <w:rFonts w:ascii="Times New Roman" w:eastAsia="Times New Roman" w:hAnsi="Times New Roman"/>
          <w:color w:val="000000"/>
          <w:sz w:val="24"/>
        </w:rPr>
        <w:t xml:space="preserve"> являются: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– формирование общей культуры личности обучающихся на основе усвоения обязательного минимума содержания общеобразовательных программ, их адаптация к жизни в обществе, создание основы для осознанного выбора и последующего освоения профессиональны</w:t>
      </w:r>
      <w:r>
        <w:rPr>
          <w:rFonts w:ascii="Times New Roman" w:eastAsia="Times New Roman" w:hAnsi="Times New Roman"/>
          <w:color w:val="000000"/>
          <w:sz w:val="24"/>
        </w:rPr>
        <w:t>х образовательных программ;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– воспитание у обучающихся гражданственности, трудолюбия, уважения к правам и свободам человека, любви к окружающей природе, Родине, семье, формирование здорового образа жизни;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– создание условий для реализации гражданами Россий</w:t>
      </w:r>
      <w:r>
        <w:rPr>
          <w:rFonts w:ascii="Times New Roman" w:eastAsia="Times New Roman" w:hAnsi="Times New Roman"/>
          <w:color w:val="000000"/>
          <w:sz w:val="24"/>
        </w:rPr>
        <w:t>ской Федерации гарантированного государством права на получение общедоступного и бесплатного начального общего, основного общего и среднего общего образования.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Руководство муниципальным учреждением осуществляет директор Широкова Оксана Викторовна назначенн</w:t>
      </w:r>
      <w:r>
        <w:rPr>
          <w:rFonts w:ascii="Times New Roman" w:eastAsia="Times New Roman" w:hAnsi="Times New Roman"/>
          <w:color w:val="000000"/>
          <w:sz w:val="24"/>
        </w:rPr>
        <w:t xml:space="preserve">ая начальником Управления образования. 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МБОУ СОШ п.Октябрьский </w:t>
      </w:r>
      <w:r>
        <w:rPr>
          <w:rFonts w:ascii="Times New Roman" w:eastAsia="Times New Roman" w:hAnsi="Times New Roman"/>
          <w:color w:val="00000A"/>
          <w:sz w:val="24"/>
        </w:rPr>
        <w:t>наделено полномочиями по исполнению публичных нормативных обязательств перед физическим лицом, согласно приказа Управления образования №529/1 от 29.12.2012 года «Об осуществлении бюджетными учр</w:t>
      </w:r>
      <w:r>
        <w:rPr>
          <w:rFonts w:ascii="Times New Roman" w:eastAsia="Times New Roman" w:hAnsi="Times New Roman"/>
          <w:color w:val="00000A"/>
          <w:sz w:val="24"/>
        </w:rPr>
        <w:t>еждениями, подведомственными управлению образования администрации Ванинского муниципального района Хабаровского края, полномочий управления образования администрации Ванинского муниципального района Хабаровского края по исполнению публичных обязательств пе</w:t>
      </w:r>
      <w:r>
        <w:rPr>
          <w:rFonts w:ascii="Times New Roman" w:eastAsia="Times New Roman" w:hAnsi="Times New Roman"/>
          <w:color w:val="00000A"/>
          <w:sz w:val="24"/>
        </w:rPr>
        <w:t>ред физическим лицом, подлежащих исполнению в денежной форме» по утвержденному перечню.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A"/>
          <w:sz w:val="24"/>
        </w:rPr>
        <w:t>Операции по данным публичным обязательствам отражаются на лицевых счетах, открытых в Финансовом управлении администрации Ванинского муниципального района Хабаровского к</w:t>
      </w:r>
      <w:r>
        <w:rPr>
          <w:rFonts w:ascii="Times New Roman" w:eastAsia="Times New Roman" w:hAnsi="Times New Roman"/>
          <w:color w:val="00000A"/>
          <w:sz w:val="24"/>
        </w:rPr>
        <w:t>рая.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Источники формирования имущества и финансовых средств МБОУ СОШ являются:</w:t>
      </w:r>
    </w:p>
    <w:p w:rsidR="00000000" w:rsidRDefault="007E5E32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Субсидии из бюджета Ванинского муниципального района Хабаровского края на выполнение муниципального задания.</w:t>
      </w:r>
    </w:p>
    <w:p w:rsidR="00000000" w:rsidRDefault="007E5E32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Дополнительные финансовые средства за счет предоставления платных доп</w:t>
      </w:r>
      <w:r>
        <w:rPr>
          <w:rFonts w:ascii="Times New Roman" w:eastAsia="Times New Roman" w:hAnsi="Times New Roman"/>
          <w:color w:val="000000"/>
          <w:sz w:val="24"/>
        </w:rPr>
        <w:t>олнительных образовательных услуг.</w:t>
      </w:r>
    </w:p>
    <w:p w:rsidR="00000000" w:rsidRDefault="007E5E32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Имущество, закрепленное за ним на праве оперативного управления или приобретенное учреждением на средства, выделяемые ему Уполномоченным органом на приобретение этого имущества.</w:t>
      </w:r>
    </w:p>
    <w:p w:rsidR="00000000" w:rsidRDefault="007E5E32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Другие источники в соответствии с законодат</w:t>
      </w:r>
      <w:r>
        <w:rPr>
          <w:rFonts w:ascii="Times New Roman" w:eastAsia="Times New Roman" w:hAnsi="Times New Roman"/>
          <w:color w:val="000000"/>
          <w:sz w:val="24"/>
        </w:rPr>
        <w:t>ельством Российской Федерации.</w:t>
      </w:r>
    </w:p>
    <w:p w:rsidR="00000000" w:rsidRDefault="007E5E32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Средства из бюджета Ванинского муниципального района Хабаровского края на исполнение публичных обязательств.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Ведение бухгалтерского и бюджетного учета, составление бухгалтерской и бюджетной отчетности муниципального бюджетног</w:t>
      </w:r>
      <w:r>
        <w:rPr>
          <w:rFonts w:ascii="Times New Roman" w:eastAsia="Times New Roman" w:hAnsi="Times New Roman"/>
          <w:color w:val="000000"/>
          <w:sz w:val="24"/>
        </w:rPr>
        <w:t xml:space="preserve">о учреждения, подведомственного управлению образования, передали на основании Соглашения Муниципальному казенному учреждению «Централизованная бухгалтерия учреждений образования». 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Бухгалтерский учет автоматизирован - ведется в программе 1С-предприятие, на</w:t>
      </w:r>
      <w:r>
        <w:rPr>
          <w:rFonts w:ascii="Times New Roman" w:eastAsia="Times New Roman" w:hAnsi="Times New Roman"/>
          <w:color w:val="000000"/>
          <w:sz w:val="24"/>
        </w:rPr>
        <w:t xml:space="preserve">числение заработной платы осуществляется в программе "1С-заработная плата и кадры". </w:t>
      </w:r>
    </w:p>
    <w:p w:rsidR="00000000" w:rsidRDefault="007E5E32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Сведения о количестве обособленных подразделений (ф.0503761)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Бюджетное учреждение, подведомственное управлению образования, не имеет обособленных подразделений.</w:t>
      </w:r>
    </w:p>
    <w:p w:rsidR="00000000" w:rsidRDefault="007E5E32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 Результ</w:t>
      </w:r>
      <w:r>
        <w:rPr>
          <w:rFonts w:ascii="Times New Roman" w:eastAsia="Times New Roman" w:hAnsi="Times New Roman"/>
          <w:b/>
          <w:color w:val="000000"/>
          <w:sz w:val="24"/>
        </w:rPr>
        <w:t>аты деятельности учреждения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Сведения о выполнении государственного (муниципального) задания (ф.0503762)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Средняя численность работников списочного состава по итогам 2018 года составляет: - Административный персонал – 3,0 человек;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- Педагогический персонал </w:t>
      </w:r>
      <w:r>
        <w:rPr>
          <w:rFonts w:ascii="Times New Roman" w:eastAsia="Times New Roman" w:hAnsi="Times New Roman"/>
          <w:color w:val="000000"/>
          <w:sz w:val="24"/>
        </w:rPr>
        <w:t>– 39,1 человек;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 Прочий персонал – 14,0 человек;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Итого общая утвержденная численность составляет 56,1 человек.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Среднемесячная заработная плата работников списочного состава</w:t>
      </w:r>
      <w:r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образовательного учреждения в 2018 году составила 48,86 тыс. руб., в том числе: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Ø </w:t>
      </w:r>
      <w:r>
        <w:rPr>
          <w:rFonts w:ascii="Times New Roman" w:eastAsia="Times New Roman" w:hAnsi="Times New Roman"/>
          <w:color w:val="000000"/>
          <w:sz w:val="24"/>
        </w:rPr>
        <w:t>Административный персонал – 82,06 тыс. рублей;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Ø Педагогический персонал – 51,26 тыс. рублей;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Ø Прочий персонал – 35,03 тыс. рублей.</w:t>
      </w:r>
    </w:p>
    <w:p w:rsidR="00000000" w:rsidRDefault="007E5E32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В МБОУ СОШ п.Октябрьский средняя численность внешних совместителей списочного состава по итогам 2018 года составляет 1,7 че</w:t>
      </w:r>
      <w:r>
        <w:rPr>
          <w:rFonts w:ascii="Times New Roman" w:eastAsia="Times New Roman" w:hAnsi="Times New Roman"/>
          <w:color w:val="000000"/>
          <w:sz w:val="24"/>
        </w:rPr>
        <w:t xml:space="preserve">л., в том числе : </w:t>
      </w:r>
    </w:p>
    <w:p w:rsidR="00000000" w:rsidRDefault="007E5E32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 Педагогический персонал- 1,3 чел.;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 Прочий персонал – 0,4 чел.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Государственное (муниципальное) задание </w:t>
      </w:r>
    </w:p>
    <w:tbl>
      <w:tblPr>
        <w:tblStyle w:val="NormalTable"/>
        <w:tblW w:w="102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1933"/>
        <w:gridCol w:w="1106"/>
        <w:gridCol w:w="1173"/>
        <w:gridCol w:w="1112"/>
        <w:gridCol w:w="1190"/>
        <w:gridCol w:w="1326"/>
        <w:gridCol w:w="1288"/>
        <w:gridCol w:w="1147"/>
      </w:tblGrid>
      <w:tr w:rsidR="00000000">
        <w:tc>
          <w:tcPr>
            <w:tcW w:w="1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Наименование услуги</w:t>
            </w:r>
          </w:p>
        </w:tc>
        <w:tc>
          <w:tcPr>
            <w:tcW w:w="1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Единица измерения</w:t>
            </w:r>
          </w:p>
        </w:tc>
        <w:tc>
          <w:tcPr>
            <w:tcW w:w="38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Объем оказываемой муниципальной услуги, утвержденной в муниципальном задании</w:t>
            </w:r>
          </w:p>
        </w:tc>
        <w:tc>
          <w:tcPr>
            <w:tcW w:w="38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Объем бюджетных</w:t>
            </w:r>
            <w:r>
              <w:rPr>
                <w:rFonts w:ascii="Times New Roman" w:eastAsia="Times New Roman" w:hAnsi="Times New Roman"/>
                <w:color w:val="000000"/>
                <w:sz w:val="18"/>
              </w:rPr>
              <w:t xml:space="preserve"> ассигнований на предоставление субсидий на финансовое обеспечение муниципального задания на оказание муниципальных услуг (работ) с учетом затрат на содержание имущества (тыс.руб)</w:t>
            </w:r>
          </w:p>
        </w:tc>
      </w:tr>
      <w:tr w:rsidR="00000000">
        <w:tc>
          <w:tcPr>
            <w:tcW w:w="1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  <w:tc>
          <w:tcPr>
            <w:tcW w:w="1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Courier New" w:eastAsia="Courier New" w:hAnsi="Courier New"/>
              </w:rPr>
            </w:pPr>
            <w:r>
              <w:rPr>
                <w:rFonts w:ascii="Courier New" w:eastAsia="Courier New" w:hAnsi="Courier New"/>
              </w:rPr>
              <w:t xml:space="preserve"> 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утверждено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исполнено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выполнение %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утверждено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исполнено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выполнение %</w:t>
            </w:r>
          </w:p>
        </w:tc>
      </w:tr>
      <w:tr w:rsidR="00000000"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Реа</w:t>
            </w:r>
            <w:r>
              <w:rPr>
                <w:rFonts w:ascii="Times New Roman" w:eastAsia="Times New Roman" w:hAnsi="Times New Roman"/>
                <w:color w:val="000000"/>
                <w:sz w:val="18"/>
              </w:rPr>
              <w:t>лизация основных общеобразовательных программ начального общего образования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человек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231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231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100 %</w:t>
            </w:r>
          </w:p>
        </w:tc>
        <w:tc>
          <w:tcPr>
            <w:tcW w:w="1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48954,40648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48664,45616</w:t>
            </w:r>
          </w:p>
        </w:tc>
        <w:tc>
          <w:tcPr>
            <w:tcW w:w="1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99,41%</w:t>
            </w:r>
          </w:p>
        </w:tc>
      </w:tr>
      <w:tr w:rsidR="00000000">
        <w:trPr>
          <w:trHeight w:val="280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человек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282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282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100 %</w:t>
            </w:r>
          </w:p>
        </w:tc>
        <w:tc>
          <w:tcPr>
            <w:tcW w:w="1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3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0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280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Реализация основных об</w:t>
            </w:r>
            <w:r>
              <w:rPr>
                <w:rFonts w:ascii="Times New Roman" w:eastAsia="Times New Roman" w:hAnsi="Times New Roman"/>
                <w:color w:val="000000"/>
                <w:sz w:val="18"/>
              </w:rPr>
              <w:t xml:space="preserve">щеобразовательных </w:t>
            </w:r>
            <w:r>
              <w:rPr>
                <w:rFonts w:ascii="Times New Roman" w:eastAsia="Times New Roman" w:hAnsi="Times New Roman"/>
                <w:color w:val="000000"/>
                <w:sz w:val="18"/>
              </w:rPr>
              <w:lastRenderedPageBreak/>
              <w:t>программ среднего общего образования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lastRenderedPageBreak/>
              <w:t>человек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16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16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100 %</w:t>
            </w:r>
          </w:p>
        </w:tc>
        <w:tc>
          <w:tcPr>
            <w:tcW w:w="1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3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0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sz w:val="24"/>
              </w:rPr>
            </w:pPr>
          </w:p>
        </w:tc>
      </w:tr>
    </w:tbl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По показателям муниципального задания: </w:t>
      </w:r>
    </w:p>
    <w:tbl>
      <w:tblPr>
        <w:tblStyle w:val="NormalTable"/>
        <w:tblW w:w="1032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2175"/>
        <w:gridCol w:w="2175"/>
        <w:gridCol w:w="2175"/>
        <w:gridCol w:w="2160"/>
        <w:gridCol w:w="1635"/>
      </w:tblGrid>
      <w:tr w:rsidR="00000000">
        <w:tc>
          <w:tcPr>
            <w:tcW w:w="103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Показатели качества оказываемых муниципальных услуг</w:t>
            </w:r>
          </w:p>
        </w:tc>
      </w:tr>
      <w:tr w:rsidR="00000000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Наименование показателя установленного в муниципальном задании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Единица измерения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Зна</w:t>
            </w: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чения показателя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Фактическое значение показателя на отчетную дату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 xml:space="preserve">Выполнение </w:t>
            </w:r>
          </w:p>
        </w:tc>
      </w:tr>
      <w:tr w:rsidR="00000000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Доля учащихся 10-11 классов, обучающихся в профильных классах, классах с углубленным изучением отдельных предметов или по индивидуальным образовательным программам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%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45 %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100 %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Доля выпускников не преодалевших минимальный порог при сдачи ЕГЭ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%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Не более 5 %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5,0%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Удельный вес выпускников, поступивших в учреждения среднего профессионального образования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%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не менее 75 %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88%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Количество учеников, оставле</w:t>
            </w:r>
            <w:r>
              <w:rPr>
                <w:rFonts w:ascii="Times New Roman" w:eastAsia="Times New Roman" w:hAnsi="Times New Roman"/>
                <w:color w:val="000000"/>
                <w:sz w:val="18"/>
              </w:rPr>
              <w:t>нных по неуспеваемости на второй год от общего числа учеников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единица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Отсутствие неуспевающих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Победители и призеры муниципального, регионального, всероссийского этапа олимпиады школьников, конкурсов, смотров и т.д.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единица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Наличие призеров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60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Удельный вес детей, охваченных дополнительным образованием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%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Не менее 40%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80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Количество учащихся, выбывших из учреждения до получения основного общего образования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единица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отсутствие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 xml:space="preserve">Обеспеченность учреждения компьютерной </w:t>
            </w:r>
            <w:r>
              <w:rPr>
                <w:rFonts w:ascii="Times New Roman" w:eastAsia="Times New Roman" w:hAnsi="Times New Roman"/>
                <w:color w:val="000000"/>
                <w:sz w:val="18"/>
              </w:rPr>
              <w:t>техникой, в том числе с доступом в интернет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единица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не более 30 чел.на 1компьютер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10,4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rPr>
          <w:trHeight w:val="890"/>
        </w:trPr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Количество случаев травматизма в общеобразовательных учреждениях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единица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отсутствие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отсутствие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rPr>
          <w:trHeight w:val="520"/>
        </w:trPr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Охват учащихся горячим питанием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%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не менее 98 %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rPr>
          <w:trHeight w:val="562"/>
        </w:trPr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Укомплектованность учреждения кадрами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%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не менее 98 %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rPr>
          <w:trHeight w:val="860"/>
        </w:trPr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lastRenderedPageBreak/>
              <w:t>Доля педагогических работников с высшим образованием от общего числа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%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не менее 70%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97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  <w:tr w:rsidR="00000000">
        <w:trPr>
          <w:trHeight w:val="790"/>
        </w:trPr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Судебные акты об удовлетворении требований истца в отношении организаций, оказ</w:t>
            </w:r>
            <w:r>
              <w:rPr>
                <w:rFonts w:ascii="Times New Roman" w:eastAsia="Times New Roman" w:hAnsi="Times New Roman"/>
                <w:color w:val="000000"/>
                <w:sz w:val="18"/>
              </w:rPr>
              <w:t>ывающих услуги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единица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отсутствие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отсутствие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выполнено</w:t>
            </w:r>
          </w:p>
        </w:tc>
      </w:tr>
    </w:tbl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В 2018 году было привлечено безвозмездной благотворительной помощи от предприятий (АО "ВТУ") 600 000,00 руб., за счет которых был проведен ремонт пожарной сигнализации.</w:t>
      </w:r>
    </w:p>
    <w:p w:rsidR="00000000" w:rsidRDefault="007E5E32">
      <w:pPr>
        <w:ind w:firstLine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Фактическое потребление энергор</w:t>
      </w:r>
      <w:r>
        <w:rPr>
          <w:rFonts w:ascii="Times New Roman" w:eastAsia="Times New Roman" w:hAnsi="Times New Roman"/>
          <w:color w:val="000000"/>
          <w:sz w:val="24"/>
        </w:rPr>
        <w:t>есурсов в муниципальном учреждении образования за 2018 году составило:</w:t>
      </w:r>
      <w:r>
        <w:rPr>
          <w:rFonts w:ascii="Times New Roman" w:eastAsia="Times New Roman" w:hAnsi="Times New Roman"/>
          <w:color w:val="000000"/>
          <w:sz w:val="24"/>
        </w:rPr>
        <w:br/>
        <w:t>-электроэнергии – 63,04 тыс. кВт/час;</w:t>
      </w:r>
      <w:r>
        <w:rPr>
          <w:rFonts w:ascii="Times New Roman" w:eastAsia="Times New Roman" w:hAnsi="Times New Roman"/>
          <w:color w:val="000000"/>
          <w:sz w:val="24"/>
        </w:rPr>
        <w:br/>
        <w:t>- тепловой энергии – 0,6237490 тыс. Гкал.;</w:t>
      </w:r>
      <w:r>
        <w:rPr>
          <w:rFonts w:ascii="Times New Roman" w:eastAsia="Times New Roman" w:hAnsi="Times New Roman"/>
          <w:color w:val="000000"/>
          <w:sz w:val="24"/>
        </w:rPr>
        <w:br/>
        <w:t>- горячей воды – 0,9485800 тыс. м. куб.;</w:t>
      </w:r>
      <w:r>
        <w:rPr>
          <w:rFonts w:ascii="Times New Roman" w:eastAsia="Times New Roman" w:hAnsi="Times New Roman"/>
          <w:color w:val="000000"/>
          <w:sz w:val="24"/>
        </w:rPr>
        <w:br/>
        <w:t>- водопотребление – 1,087 тыс. м. куб.;</w:t>
      </w:r>
      <w:r>
        <w:rPr>
          <w:rFonts w:ascii="Times New Roman" w:eastAsia="Times New Roman" w:hAnsi="Times New Roman"/>
          <w:color w:val="000000"/>
          <w:sz w:val="24"/>
        </w:rPr>
        <w:br/>
        <w:t>- водоотведение – 2,186</w:t>
      </w:r>
      <w:r>
        <w:rPr>
          <w:rFonts w:ascii="Times New Roman" w:eastAsia="Times New Roman" w:hAnsi="Times New Roman"/>
          <w:color w:val="000000"/>
          <w:sz w:val="24"/>
        </w:rPr>
        <w:t>78 тыс. м. куб.</w:t>
      </w:r>
    </w:p>
    <w:p w:rsidR="00000000" w:rsidRDefault="007E5E32">
      <w:pPr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Анализ отчета об исполнении учреждением плана его деятельности.</w:t>
      </w:r>
    </w:p>
    <w:p w:rsidR="00000000" w:rsidRDefault="007E5E32">
      <w:pPr>
        <w:ind w:firstLine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Анализ исполнения учреждением плана финансово-хозяйственной деятельности, в части собственных доходов учреждения.</w:t>
      </w:r>
    </w:p>
    <w:p w:rsidR="00000000" w:rsidRDefault="007E5E32">
      <w:pPr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(руб.)</w:t>
      </w:r>
    </w:p>
    <w:tbl>
      <w:tblPr>
        <w:tblStyle w:val="NormalTable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4390"/>
        <w:gridCol w:w="1770"/>
        <w:gridCol w:w="1702"/>
        <w:gridCol w:w="1482"/>
      </w:tblGrid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Утверждено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Исполнено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Процент ис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полнения, %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Остаток на начало года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90 032,84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Доходы - всего: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855 055,00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828 061,25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96,84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доходы от оказания платных услуг (работ) и компенсации затрат;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255 055,00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228 061,25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89,41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прочие доходы.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100,0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Расходы – всего.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945 087,8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906 665,29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95,93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Остаток на конец года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11 428,80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</w:tr>
    </w:tbl>
    <w:p w:rsidR="00000000" w:rsidRDefault="007E5E32">
      <w:pPr>
        <w:ind w:firstLine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Анализ исполнения учреждением плана финансово-хозяйственной деятельности, в части субсидии на выполнение муниципального задания.</w:t>
      </w:r>
    </w:p>
    <w:p w:rsidR="00000000" w:rsidRDefault="007E5E32">
      <w:pPr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(руб.)</w:t>
      </w:r>
    </w:p>
    <w:tbl>
      <w:tblPr>
        <w:tblStyle w:val="NormalTable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4390"/>
        <w:gridCol w:w="1770"/>
        <w:gridCol w:w="1702"/>
        <w:gridCol w:w="1482"/>
      </w:tblGrid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Утверждено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Исполнено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Процент исполнения,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%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Остаток на начало года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269 199,73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Доходы от оказания платных услуг (работ) и компенсации затрат;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48 685 206,75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48 573 144,66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99,77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Расходы – всего.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48 954 406,48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48 664 456,16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99,41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Остаток на конец года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177 888,23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</w:tr>
    </w:tbl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В структуре расходов наибольши</w:t>
      </w:r>
      <w:r>
        <w:rPr>
          <w:rFonts w:ascii="Times New Roman" w:eastAsia="Times New Roman" w:hAnsi="Times New Roman"/>
          <w:color w:val="000000"/>
          <w:sz w:val="24"/>
        </w:rPr>
        <w:t>й удельный вес 64,39 % составляют расходы по «111» виду расхода «Фонд оплаты труда» в сумме 31 336 641,65 рублей.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Расходы по виду «119» «Взносы по обязательному социальному страхованию на выплаты денежного содержания и иные выплаты работникам» в структуре </w:t>
      </w:r>
      <w:r>
        <w:rPr>
          <w:rFonts w:ascii="Times New Roman" w:eastAsia="Times New Roman" w:hAnsi="Times New Roman"/>
          <w:color w:val="000000"/>
          <w:sz w:val="24"/>
        </w:rPr>
        <w:t>расходов составляют 18,64 %.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По виду расходов «244» «Прочая закупка товаров, работ и услуг для государственных нужд» расходы в структуре занимают 15,26 %.</w:t>
      </w:r>
    </w:p>
    <w:p w:rsidR="00000000" w:rsidRDefault="007E5E32">
      <w:pPr>
        <w:ind w:firstLine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Анализ исполнения учреждением плана финансово-хозяйственной деятельности, в части субсидии на иные це</w:t>
      </w:r>
      <w:r>
        <w:rPr>
          <w:rFonts w:ascii="Times New Roman" w:eastAsia="Times New Roman" w:hAnsi="Times New Roman"/>
          <w:color w:val="000000"/>
          <w:sz w:val="24"/>
        </w:rPr>
        <w:t>ли.</w:t>
      </w:r>
    </w:p>
    <w:p w:rsidR="00000000" w:rsidRDefault="007E5E32">
      <w:pPr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(руб.)</w:t>
      </w:r>
    </w:p>
    <w:tbl>
      <w:tblPr>
        <w:tblStyle w:val="NormalTable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4390"/>
        <w:gridCol w:w="1770"/>
        <w:gridCol w:w="1702"/>
        <w:gridCol w:w="1482"/>
      </w:tblGrid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Утверждено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Исполнено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Процент исполнения, %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Остаток на начало года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Прочие доходы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536 758,79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536 758,79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100,0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Расходы – всего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536 758,79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536 758,79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100,0</w:t>
            </w:r>
          </w:p>
        </w:tc>
      </w:tr>
      <w:tr w:rsidR="00000000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Остаток на конец года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7E5E32"/>
        </w:tc>
      </w:tr>
    </w:tbl>
    <w:p w:rsidR="00000000" w:rsidRDefault="007E5E32">
      <w:pPr>
        <w:ind w:right="580"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Не исполнение плана финансово-хозя</w:t>
      </w:r>
      <w:r>
        <w:rPr>
          <w:rFonts w:ascii="Times New Roman" w:eastAsia="Times New Roman" w:hAnsi="Times New Roman"/>
          <w:color w:val="000000"/>
          <w:sz w:val="24"/>
        </w:rPr>
        <w:t>йственной деятельности, в части субсидии на выполнение государственного (муниципального) задания произошло по причине недофинансирования учредителем субсидии; поступление средств от учредителя в последний финансовый день года.</w:t>
      </w:r>
    </w:p>
    <w:p w:rsidR="00000000" w:rsidRDefault="007E5E32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Сведения об исполнении меропр</w:t>
      </w:r>
      <w:r>
        <w:rPr>
          <w:rFonts w:ascii="Times New Roman" w:eastAsia="Times New Roman" w:hAnsi="Times New Roman"/>
          <w:b/>
          <w:color w:val="000000"/>
          <w:sz w:val="24"/>
        </w:rPr>
        <w:t>иятий в рамках субсидий на иные цели и на цели осуществления капитальных вложений (ф.0503766)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МБОУ СОШ п.Октябрьский в 2018 году управлением образования выделено субсидий на иные цели в сумме 536 758,79 руб., исполнение составило 536 758,79 руб. или 100 %.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</w:p>
    <w:tbl>
      <w:tblPr>
        <w:tblStyle w:val="NormalTable"/>
        <w:tblW w:w="105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10545"/>
      </w:tblGrid>
      <w:tr w:rsidR="00000000">
        <w:tc>
          <w:tcPr>
            <w:tcW w:w="10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>
            <w:pPr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Анализ показателей отчетности учреждени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я</w:t>
            </w:r>
          </w:p>
        </w:tc>
      </w:tr>
      <w:tr w:rsidR="00000000">
        <w:tc>
          <w:tcPr>
            <w:tcW w:w="10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/>
        </w:tc>
      </w:tr>
      <w:tr w:rsidR="00000000">
        <w:tc>
          <w:tcPr>
            <w:tcW w:w="10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>
            <w:pPr>
              <w:ind w:right="3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Сведения о движении нефинансовых активов (ф.0503768)</w:t>
            </w:r>
          </w:p>
          <w:p w:rsidR="00000000" w:rsidRDefault="007E5E32">
            <w:pPr>
              <w:ind w:right="3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Общая стоимость основных средств по состоянию на 01 января 2019 года составила 67 240 997,43руб., в том числе: недвижимого имущества 53 245 096,00 руб., особ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 ценного движимого имущества 10 308 535,70 руб. и иного движимого имущества 3 687 365,73 руб.</w:t>
            </w:r>
          </w:p>
          <w:p w:rsidR="00000000" w:rsidRDefault="007E5E32">
            <w:pPr>
              <w:ind w:right="3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Балансовая стоимость основных средств учреждения увеличилась на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2 367 940,75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руб.</w:t>
            </w:r>
          </w:p>
        </w:tc>
      </w:tr>
      <w:tr w:rsidR="00000000">
        <w:tc>
          <w:tcPr>
            <w:tcW w:w="10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>
            <w:pPr>
              <w:ind w:right="3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2018 году было: </w:t>
            </w:r>
          </w:p>
          <w:p w:rsidR="00000000" w:rsidRDefault="007E5E32">
            <w:pPr>
              <w:numPr>
                <w:ilvl w:val="0"/>
                <w:numId w:val="5"/>
              </w:numPr>
              <w:ind w:right="3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Приобретено особо ценного движимого имущества на сумму 1 08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4 694,00 руб., в том числе: </w:t>
            </w:r>
          </w:p>
          <w:p w:rsidR="00000000" w:rsidRDefault="007E5E32">
            <w:pPr>
              <w:ind w:right="3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автобус ПАЗ 32053-70 на сумму 1 062 500,00 руб.; палатка САМРUS Vail 2 9315*155) на сумму 10 979,00 руб.; тент 360*360*270 см алюмин каркасна сумму 11 215,00 руб.</w:t>
            </w:r>
          </w:p>
          <w:p w:rsidR="00000000" w:rsidRDefault="007E5E32">
            <w:pPr>
              <w:ind w:right="3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Списано особо ценного движимого имущества на сумму 31 773,00 руб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., в том числе: конь гимнастический на сумму 12 270,00 руб.; стол канцелярский на сумму 7 990,00 руб.; амперметр демонстрационный на сумму 5 200,00 руб.; мяч баскетбольный на сумму 3 091,00 руб.; мяч волейбольный на сумму 3 222,00 руб. </w:t>
            </w:r>
          </w:p>
          <w:p w:rsidR="00000000" w:rsidRDefault="007E5E32">
            <w:pPr>
              <w:ind w:right="3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 Приобретено иног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 движимого имущества на сумму 1 599 133,35 рублей, в том числе: учебники на сумму 812 392,45 руб.; нагнетатель воздуха на сумму 13 866,60 руб.; комплект для клуба Tippmann 98 на 10 игроков-1на сумму 140 334,00 руб.; стойка для пейнтбольной сетки(складные)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 сумму 100 000,00 руб.; сетка заградительная на сумму 46 460,00 руб.; надувное пейнтбольное поле "Миллениум" на сумму 279 333,30 руб.; заправочная станция воздушная для баллонов на сумму 3 628,00 руб.; маска Photo Field Rental Yellow на сумму 28 000,00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руб.; маршевый барабан на сумму 68 100,00 руб.; плита газовая в кейсе на сумму 2 970,00 руб.; палатка INDIANA HOGAR (320*160 ) на сумму 8 449,00 руб.; абонентский терминал на сумму 6 300,00 руб.; цифровой тахограф Континенталь 3283 на сумму 36 500,00 руб.;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стол- парта 2-местный , регулируемый "Бюджет" на сумму 23 518,00 руб.;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стул ученический регулируемый "Бюджет" на сумму 29 282,00 руб.</w:t>
            </w:r>
          </w:p>
          <w:p w:rsidR="00000000" w:rsidRDefault="007E5E32">
            <w:pPr>
              <w:ind w:right="3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Списано иного движимого имущества на сумму 284 113,60 руб., в том числе: заправочная станция воздушная для баллонов на су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мму 3 628,00 руб.; маска Photo Field Rental Yellow на сумму 28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000,00 руб.; стойка для пейнтбольной сетки(складные) на сумму 100 000,00 руб.; нагнетатель воздуха на сумму 13 866,60 руб.; маршевый барабан на сумму 68 100,00 руб.; плита газовая в кейсе на су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мму 2 970,00 руб.; палатка INDIANA HOGAR (320*160 ) на сумму 8 449,00 руб.; абонентский терминал на сумму 6 300,00 руб.; стол- парта 2-местный , регулируемый "Бюджет" на сумму 23 518,00 руб.;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стул ученический регулируемый "Бюджет" на сумму 29 282,00 руб.</w:t>
            </w:r>
          </w:p>
        </w:tc>
      </w:tr>
      <w:tr w:rsidR="00000000">
        <w:tc>
          <w:tcPr>
            <w:tcW w:w="10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/>
        </w:tc>
      </w:tr>
      <w:tr w:rsidR="00000000">
        <w:tc>
          <w:tcPr>
            <w:tcW w:w="10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>
            <w:pPr>
              <w:ind w:right="3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Стоимость материальных запасов на начало года составила 376 528,27 руб. В течении года были закуплены хозяйственные товары, продукты питания, моющие средства. Списание производится своевременно, согласно норм списания. На конец года в результате проведен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ного списания остаток материальных запасов составил 425 947,41 руб.</w:t>
            </w:r>
          </w:p>
        </w:tc>
      </w:tr>
    </w:tbl>
    <w:p w:rsidR="00000000" w:rsidRDefault="007E5E32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Сведения по дебиторской и кредиторской задолженности (ф.0503769)</w:t>
      </w:r>
    </w:p>
    <w:tbl>
      <w:tblPr>
        <w:tblStyle w:val="NormalTable"/>
        <w:tblW w:w="10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10635"/>
      </w:tblGrid>
      <w:tr w:rsidR="00000000">
        <w:tc>
          <w:tcPr>
            <w:tcW w:w="10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>
            <w:pPr>
              <w:ind w:right="580" w:firstLine="70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 состоянию на 01.01.2019 года по данным бухгалтерского баланса имеется дебиторская задолженность</w:t>
            </w:r>
            <w:r>
              <w:rPr>
                <w:rFonts w:ascii="Times New Roman" w:eastAsia="Times New Roman" w:hAnsi="Times New Roman"/>
                <w:color w:val="000000"/>
              </w:rPr>
              <w:t>. (руб.)</w:t>
            </w:r>
          </w:p>
          <w:tbl>
            <w:tblPr>
              <w:tblStyle w:val="NormalTable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2946"/>
              <w:gridCol w:w="2294"/>
              <w:gridCol w:w="2410"/>
              <w:gridCol w:w="1984"/>
            </w:tblGrid>
            <w:tr w:rsidR="00000000">
              <w:tc>
                <w:tcPr>
                  <w:tcW w:w="29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Наименование</w:t>
                  </w:r>
                </w:p>
              </w:tc>
              <w:tc>
                <w:tcPr>
                  <w:tcW w:w="2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Со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бственные доходы учреждения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Субсидия на выполнение муниципального задания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Субсидии на иные цели</w:t>
                  </w:r>
                </w:p>
              </w:tc>
            </w:tr>
            <w:tr w:rsidR="00000000">
              <w:tc>
                <w:tcPr>
                  <w:tcW w:w="29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с плательщиками доходов от оказания платных работ, услуг</w:t>
                  </w:r>
                </w:p>
              </w:tc>
              <w:tc>
                <w:tcPr>
                  <w:tcW w:w="2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16380,00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2 041 876,30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субсидиям на иные цели</w:t>
                  </w:r>
                </w:p>
              </w:tc>
              <w:tc>
                <w:tcPr>
                  <w:tcW w:w="2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Авансы за услуги связи</w:t>
                  </w:r>
                </w:p>
              </w:tc>
              <w:tc>
                <w:tcPr>
                  <w:tcW w:w="2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141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,18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авансам по коммунальным услугам</w:t>
                  </w:r>
                </w:p>
              </w:tc>
              <w:tc>
                <w:tcPr>
                  <w:tcW w:w="2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/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14 894,02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/>
              </w:tc>
            </w:tr>
            <w:tr w:rsidR="00000000">
              <w:tc>
                <w:tcPr>
                  <w:tcW w:w="29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ИТОГО</w:t>
                  </w:r>
                </w:p>
              </w:tc>
              <w:tc>
                <w:tcPr>
                  <w:tcW w:w="2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16380,00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2 056 911,50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</w:tbl>
          <w:p w:rsidR="00000000" w:rsidRDefault="007E5E32">
            <w:pPr>
              <w:ind w:right="4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Кредиторская задолженность по состоянию на 01 января 2019 года сложилась следующим образом. (руб.)</w:t>
            </w:r>
          </w:p>
          <w:tbl>
            <w:tblPr>
              <w:tblStyle w:val="NormalTable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2972"/>
              <w:gridCol w:w="2268"/>
              <w:gridCol w:w="2410"/>
              <w:gridCol w:w="1984"/>
            </w:tblGrid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Наименование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Собственные доходы учреждения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Субсидия на выполнен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ие муниципального задания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Субсидии на иные цели</w:t>
                  </w: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коммунальным услугам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1 235 357,07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rPr>
                <w:trHeight w:val="880"/>
              </w:trPr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работам, услугам по содержанию имущества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287 230,72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rPr>
                      <w:sz w:val="24"/>
                    </w:rPr>
                  </w:pP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прочим работам, услугам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163 905,50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приобретению материальных за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пасов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32 660,00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67 095,21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lastRenderedPageBreak/>
                    <w:t>Расчеты по прочим платежам в бюджет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1 625,00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страховым взносам на обязат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ельное социальное страхование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5 424,02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страховым взносам на обязательное медицинское страхование в Федеральный ФОМС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138 312,48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страховым взносам на обязате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льное пенсионное страхование на выплату страховой части трудовой пенсии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572 034,05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Расчеты по налогу на имущество организаций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166 506,00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  <w:tr w:rsidR="00000000">
              <w:tc>
                <w:tcPr>
                  <w:tcW w:w="29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ИТОГО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2 670 150,05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00000" w:rsidRDefault="007E5E32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-</w:t>
                  </w:r>
                </w:p>
              </w:tc>
            </w:tr>
          </w:tbl>
          <w:p w:rsidR="00000000" w:rsidRDefault="007E5E32">
            <w:pPr>
              <w:ind w:right="72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 состоянию на 01.01.2019 г. образовалась просроченная кредиторская задолженность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сумме 905 798,98 рублей перед поставщиком ООО "ЯНТАРЬ ".</w:t>
            </w:r>
          </w:p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Сведения об изменении остатков валюты баланса учреждения (ф. 0503773)</w:t>
            </w:r>
          </w:p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Показатели вступительного баланса учреждения на начало отчетного периода за 2018 год не изменились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000000" w:rsidRDefault="007E5E32">
            <w:pPr>
              <w:ind w:right="86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Сведения о принятых и неиспол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ненных обязательствах (ф. 0503775)</w:t>
            </w:r>
          </w:p>
          <w:p w:rsidR="00000000" w:rsidRDefault="007E5E32">
            <w:pPr>
              <w:ind w:right="580" w:firstLine="70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Сумма неисполненных обязательств и денежных обязательств учреждения, в части собственных доходов учреждений, составила за отчетный год сумму 0,00 руб. по каждому показателю. </w:t>
            </w:r>
          </w:p>
          <w:p w:rsidR="00000000" w:rsidRDefault="007E5E32">
            <w:pPr>
              <w:ind w:right="580" w:firstLine="70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Сумма неисполненных обязательств и денежных об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язательств учреждения, в части субсидии на выполнение муниципального задания, составила за 2018 год 206 686,22 руб. по каждому показателю. Причина неисполнения обязательств - поступление средств от учредителя в последний финансовый день года; недофинансиро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вание учредителем субсидий.</w:t>
            </w:r>
          </w:p>
          <w:p w:rsidR="00000000" w:rsidRDefault="007E5E32">
            <w:pPr>
              <w:ind w:right="420" w:firstLine="70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Сумма неисполненных обязательств и денежных обязательств учреждения, в части субсидии на иные цели, составила за 2018 год 0,00 руб. </w:t>
            </w:r>
          </w:p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Сведения об остатках денежных средств учреждения (ф. 0503779)</w:t>
            </w:r>
          </w:p>
          <w:p w:rsidR="00000000" w:rsidRDefault="007E5E32">
            <w:pPr>
              <w:ind w:right="58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 01 января 2019 году на счетах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учреждения образования, открытых в финансовом управлении, остались остатки:</w:t>
            </w:r>
          </w:p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части собственных доходов учреждения – 11 428,80 руб.;</w:t>
            </w:r>
          </w:p>
          <w:p w:rsidR="00000000" w:rsidRDefault="007E5E32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части субсидии на выполнение муниципального задания – 177 888,23 руб.</w:t>
            </w:r>
          </w:p>
        </w:tc>
      </w:tr>
      <w:tr w:rsidR="00000000">
        <w:tc>
          <w:tcPr>
            <w:tcW w:w="10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>
            <w:pPr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lastRenderedPageBreak/>
              <w:t>Прочие вопросы деятельности субъекта бюджетной отч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етности</w:t>
            </w:r>
          </w:p>
        </w:tc>
      </w:tr>
      <w:tr w:rsidR="00000000">
        <w:tc>
          <w:tcPr>
            <w:tcW w:w="10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/>
        </w:tc>
      </w:tr>
    </w:tbl>
    <w:p w:rsidR="00000000" w:rsidRDefault="007E5E32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Сведения об особенностях ведения бюджетного учета Таблица №4</w:t>
      </w:r>
    </w:p>
    <w:p w:rsidR="00000000" w:rsidRDefault="007E5E32">
      <w:pPr>
        <w:ind w:firstLine="7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Информация в таблице №4 показывает использованные в отчетном периоде особенности отражения в бухгалтерском и бюджетном учете операций с активами и обязательствами учреждения, в части у</w:t>
      </w:r>
      <w:r>
        <w:rPr>
          <w:rFonts w:ascii="Times New Roman" w:eastAsia="Times New Roman" w:hAnsi="Times New Roman"/>
          <w:color w:val="000000"/>
          <w:sz w:val="24"/>
        </w:rPr>
        <w:t xml:space="preserve">становленного Инструкцией по бюджетному и </w:t>
      </w:r>
      <w:r>
        <w:rPr>
          <w:rFonts w:ascii="Times New Roman" w:eastAsia="Times New Roman" w:hAnsi="Times New Roman"/>
          <w:color w:val="000000"/>
          <w:sz w:val="24"/>
        </w:rPr>
        <w:lastRenderedPageBreak/>
        <w:t>бухгалтерскому учету права самостоятельного определения таких особенностей, утвержденных в установленном порядке</w:t>
      </w:r>
      <w:r>
        <w:rPr>
          <w:rFonts w:ascii="Times New Roman" w:eastAsia="Times New Roman" w:hAnsi="Times New Roman"/>
          <w:color w:val="000000"/>
          <w:sz w:val="28"/>
        </w:rPr>
        <w:t>.</w:t>
      </w:r>
    </w:p>
    <w:p w:rsidR="00000000" w:rsidRDefault="007E5E32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Отчет о финансовых результатах деятельности (0503721)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Расшифровка строки №104 (иные прочие доходы):</w:t>
      </w:r>
    </w:p>
    <w:p w:rsidR="00000000" w:rsidRDefault="007E5E32">
      <w:pPr>
        <w:numPr>
          <w:ilvl w:val="0"/>
          <w:numId w:val="7"/>
        </w:numPr>
        <w:spacing w:line="276" w:lineRule="auto"/>
        <w:ind w:left="840"/>
        <w:jc w:val="both"/>
        <w:rPr>
          <w:rFonts w:ascii="Arial" w:eastAsia="Arial" w:hAnsi="Arial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по приносящей доход деятельности доходы составили 131 628,00 рублей, в том числе: - безвозмездные поступления от УФК по Хаб краю(Финансовое управление МБУ "РМЦ" ) нагнетатель воздуха на сумму 13 866,60 руб. ( 100% амортизация); комплект для клуба Tippmann </w:t>
      </w:r>
      <w:r>
        <w:rPr>
          <w:rFonts w:ascii="Times New Roman" w:eastAsia="Times New Roman" w:hAnsi="Times New Roman"/>
          <w:color w:val="000000"/>
          <w:sz w:val="24"/>
        </w:rPr>
        <w:t>на сумму 140 334,00 руб. ( 100 % амортизация); сетка заградительная на сумму 46 460,00 руб. ( 100 % амортизация); надувное пейнтбольное поле "Миллениум" на сумму 279 333,30 руб.( 100% амортизация); заправочная станция воздушная для баллонов на сумму 3 628,</w:t>
      </w:r>
      <w:r>
        <w:rPr>
          <w:rFonts w:ascii="Times New Roman" w:eastAsia="Times New Roman" w:hAnsi="Times New Roman"/>
          <w:color w:val="000000"/>
          <w:sz w:val="24"/>
        </w:rPr>
        <w:t>00 руб.; маска Photo Field Rental Yellow на сумму 28 000,00 руб., стойка для пейнтбольной сетки на сумму 100 000,00 руб.</w:t>
      </w:r>
    </w:p>
    <w:p w:rsidR="00000000" w:rsidRDefault="007E5E32">
      <w:pPr>
        <w:numPr>
          <w:ilvl w:val="0"/>
          <w:numId w:val="7"/>
        </w:numPr>
        <w:spacing w:line="276" w:lineRule="auto"/>
        <w:ind w:left="840"/>
        <w:jc w:val="both"/>
        <w:rPr>
          <w:rFonts w:ascii="Arial" w:eastAsia="Arial" w:hAnsi="Arial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деятельность по государственному заданию доходы составили 149 422,76 рублей, в том числе: </w:t>
      </w:r>
    </w:p>
    <w:p w:rsidR="00000000" w:rsidRDefault="007E5E32">
      <w:pPr>
        <w:spacing w:line="276" w:lineRule="auto"/>
        <w:ind w:left="8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 безвозмездные поступления от МОУДО "Дворец</w:t>
      </w:r>
      <w:r>
        <w:rPr>
          <w:rFonts w:ascii="Times New Roman" w:eastAsia="Times New Roman" w:hAnsi="Times New Roman"/>
          <w:color w:val="000000"/>
          <w:sz w:val="24"/>
        </w:rPr>
        <w:t xml:space="preserve"> спорта для детей и юношества"автобус ПАЗ 32053-70 на сумму 1 062 500,00 руб., абонентский терминал на сумму 6 300,00 руб., цифровой тахограф Континенталь на сумму 36 500,00 руб. ( Принятие со 100% начисленной амортизацией ); </w:t>
      </w:r>
    </w:p>
    <w:p w:rsidR="00000000" w:rsidRDefault="007E5E32">
      <w:pPr>
        <w:spacing w:line="276" w:lineRule="auto"/>
        <w:ind w:left="8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 безвозмездные поступления о</w:t>
      </w:r>
      <w:r>
        <w:rPr>
          <w:rFonts w:ascii="Times New Roman" w:eastAsia="Times New Roman" w:hAnsi="Times New Roman"/>
          <w:color w:val="000000"/>
          <w:sz w:val="24"/>
        </w:rPr>
        <w:t>т МБОУ ДО ЦВР п.Ванино палатка САМРUS Vail на сумму 10 979,00 руб., тент алюмин каркас на сумму 11 215,00 руб., плита газовая в кейсе на сумму 2 970,00 руб., палатка INDIANA HOGAR на сумму 8 449,00 руб., безвозмездные поступления от МБУ дополнительного обр</w:t>
      </w:r>
      <w:r>
        <w:rPr>
          <w:rFonts w:ascii="Times New Roman" w:eastAsia="Times New Roman" w:hAnsi="Times New Roman"/>
          <w:color w:val="000000"/>
          <w:sz w:val="24"/>
        </w:rPr>
        <w:t>азования "Ванинская районная детская школа искусств"маршевый барабан на сумму 68 100,00 руб.;</w:t>
      </w:r>
    </w:p>
    <w:p w:rsidR="00000000" w:rsidRDefault="007E5E32">
      <w:pPr>
        <w:spacing w:line="276" w:lineRule="auto"/>
        <w:ind w:left="8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- безвозмездное получение от ООО «Римперспектива» бензина на сумму 809,76 руб.; </w:t>
      </w:r>
    </w:p>
    <w:p w:rsidR="00000000" w:rsidRDefault="007E5E32">
      <w:pPr>
        <w:spacing w:line="276" w:lineRule="auto"/>
        <w:ind w:left="8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 безвозмездное получение от ООО «Ванинская шинная компания» автошины на сумму 46</w:t>
      </w:r>
      <w:r>
        <w:rPr>
          <w:rFonts w:ascii="Times New Roman" w:eastAsia="Times New Roman" w:hAnsi="Times New Roman"/>
          <w:color w:val="000000"/>
          <w:sz w:val="24"/>
        </w:rPr>
        <w:t xml:space="preserve"> 900,00 руб.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В соответствии с приказом 89н от 29.08.2014 года Минфина России сформирован резерв предстоящих расходов по счету 401.60 200 в сумме 967 659,28 руб. (строка 560), в том числе: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 резерв на оплату отпусков за фактически отработанное время в части</w:t>
      </w:r>
      <w:r>
        <w:rPr>
          <w:rFonts w:ascii="Times New Roman" w:eastAsia="Times New Roman" w:hAnsi="Times New Roman"/>
          <w:color w:val="000000"/>
          <w:sz w:val="24"/>
        </w:rPr>
        <w:t xml:space="preserve"> выплат персоналу счет 40160211 – 743 209,90;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- резерв на оплату отпусков за фактически отработанное время в части страховых взносов счет 40160213 – 224 449,38;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Перед составлением годовой отчетности за 2017 год проведена инвентаризация имущества и обязател</w:t>
      </w:r>
      <w:r>
        <w:rPr>
          <w:rFonts w:ascii="Times New Roman" w:eastAsia="Times New Roman" w:hAnsi="Times New Roman"/>
          <w:color w:val="000000"/>
          <w:sz w:val="24"/>
        </w:rPr>
        <w:t>ьств, согласно приказа № 250/25 от 20.11.2017 года.</w:t>
      </w:r>
    </w:p>
    <w:p w:rsidR="00000000" w:rsidRDefault="007E5E32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Сведения о результатах мероприятий внутреннего контроля (таблица №5)</w:t>
      </w:r>
    </w:p>
    <w:p w:rsidR="00000000" w:rsidRDefault="007E5E32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В отчетном периоде Финансовое управление администрации Ванинского муниципального района в 2018 году не проводило в учреждении финансовы</w:t>
      </w:r>
      <w:r>
        <w:rPr>
          <w:rFonts w:ascii="Times New Roman" w:eastAsia="Times New Roman" w:hAnsi="Times New Roman"/>
          <w:color w:val="000000"/>
          <w:sz w:val="24"/>
        </w:rPr>
        <w:t>й контроль.</w:t>
      </w:r>
    </w:p>
    <w:p w:rsidR="00000000" w:rsidRDefault="007E5E32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Сведения о проведении инвентаризаций (таблица № 6)</w:t>
      </w:r>
    </w:p>
    <w:p w:rsidR="00000000" w:rsidRDefault="007E5E32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По результатам проведенной инвентаризации недостач, хищений и отклонений в учете не выявлено.</w:t>
      </w:r>
    </w:p>
    <w:tbl>
      <w:tblPr>
        <w:tblStyle w:val="NormalTable"/>
        <w:tblW w:w="105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10545"/>
      </w:tblGrid>
      <w:tr w:rsidR="00000000">
        <w:tc>
          <w:tcPr>
            <w:tcW w:w="10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Сведения о результатах внешних контрольных мероприятий (таблица №7)</w:t>
            </w:r>
          </w:p>
          <w:p w:rsidR="00000000" w:rsidRDefault="007E5E32">
            <w:pPr>
              <w:ind w:right="3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отчетном периоде органы госфи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нконтроля не проводили в учреждении государственный контроль.</w:t>
            </w:r>
          </w:p>
          <w:tbl>
            <w:tblPr>
              <w:tblStyle w:val="NormalTable"/>
              <w:tblW w:w="1054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0545"/>
            </w:tblGrid>
            <w:tr w:rsidR="00000000">
              <w:trPr>
                <w:trHeight w:val="418"/>
              </w:trPr>
              <w:tc>
                <w:tcPr>
                  <w:tcW w:w="10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7E5E32">
                  <w:pPr>
                    <w:ind w:right="460" w:firstLine="700"/>
                    <w:jc w:val="both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lastRenderedPageBreak/>
                    <w:t>В связи с отсутствием числовых показателей в составе годовой отчетности образовательного учреждения, сформированного по Инструкции №33н, не включены в состав следующие формы:</w:t>
                  </w:r>
                </w:p>
                <w:tbl>
                  <w:tblPr>
                    <w:tblStyle w:val="NormalTable"/>
                    <w:tblW w:w="10545" w:type="dxa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45"/>
                  </w:tblGrid>
                  <w:tr w:rsidR="00000000">
                    <w:tc>
                      <w:tcPr>
                        <w:tcW w:w="105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E5E32">
                        <w:pPr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Справка по консолид</w:t>
                        </w: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ируемым расчетам учреждения ф.0503725</w:t>
                        </w:r>
                      </w:p>
                      <w:p w:rsidR="00000000" w:rsidRDefault="007E5E32">
                        <w:pPr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Сведения о количестве обособленных подразделений ф.0503761</w:t>
                        </w:r>
                      </w:p>
                      <w:p w:rsidR="00000000" w:rsidRDefault="007E5E32">
                        <w:pPr>
                          <w:ind w:left="560"/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Сведения о целевых иностранных кредитах ф.0503767</w:t>
                        </w:r>
                      </w:p>
                      <w:p w:rsidR="00000000" w:rsidRDefault="007E5E32">
                        <w:pPr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Сведения о финансовых вложениях учреждения ф.0503771</w:t>
                        </w: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br/>
                          <w:t>Сведения о суммах заимствований ф.0503772</w:t>
                        </w:r>
                      </w:p>
                      <w:p w:rsidR="00000000" w:rsidRDefault="007E5E32">
                        <w:pPr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Сведения об из</w:t>
                        </w: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менении остатков валюты баланса учреждения ф.0503773( КФО 2,4, 5)</w:t>
                        </w:r>
                      </w:p>
                      <w:p w:rsidR="00000000" w:rsidRDefault="007E5E32">
                        <w:pPr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Сведения о принятых и неисполненных обязательствах ф.0503775 (КФО 2,5)</w:t>
                        </w:r>
                      </w:p>
                      <w:p w:rsidR="00000000" w:rsidRDefault="007E5E32">
                        <w:pPr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Остатки денежных средств ф.0503779 (КФО 3,5)</w:t>
                        </w:r>
                      </w:p>
                      <w:p w:rsidR="00000000" w:rsidRDefault="007E5E32">
                        <w:pPr>
                          <w:ind w:left="560"/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Сведения об объектах незавершенного строительства, вложениях в объекты нед</w:t>
                        </w: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вижимого имущества ф.0503790</w:t>
                        </w:r>
                      </w:p>
                      <w:p w:rsidR="00000000" w:rsidRDefault="007E5E32">
                        <w:pPr>
                          <w:ind w:left="560"/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Сведения об исполнении судебных решений по денежным обязательствам учреждения ф.0503295</w:t>
                        </w:r>
                      </w:p>
                      <w:p w:rsidR="00000000" w:rsidRDefault="007E5E32">
                        <w:pPr>
                          <w:ind w:left="560"/>
                          <w:rPr>
                            <w:rFonts w:ascii="Times New Roman" w:eastAsia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</w:rPr>
                          <w:t>Сведения о результатах мероприятий внутреннего контроля Таблица 5</w:t>
                        </w:r>
                      </w:p>
                    </w:tc>
                  </w:tr>
                </w:tbl>
                <w:p w:rsidR="00000000" w:rsidRDefault="007E5E32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Сведения о проведении инвентаризаций Таблица 6</w:t>
                  </w:r>
                </w:p>
                <w:p w:rsidR="00000000" w:rsidRDefault="007E5E32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Сведения о результатах вн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ешних контрольных мероприятий Таблица 7</w:t>
                  </w:r>
                </w:p>
              </w:tc>
            </w:tr>
          </w:tbl>
          <w:p w:rsidR="00000000" w:rsidRDefault="007E5E32"/>
        </w:tc>
      </w:tr>
    </w:tbl>
    <w:p w:rsidR="00000000" w:rsidRDefault="007E5E32">
      <w:pPr>
        <w:rPr>
          <w:vanish/>
        </w:rPr>
      </w:pPr>
    </w:p>
    <w:tbl>
      <w:tblPr>
        <w:tblStyle w:val="NormalTable"/>
        <w:tblW w:w="9140" w:type="dxa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2730"/>
        <w:gridCol w:w="2040"/>
        <w:gridCol w:w="4370"/>
      </w:tblGrid>
      <w:tr w:rsidR="00000000"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/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/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/>
        </w:tc>
      </w:tr>
      <w:tr w:rsidR="00000000"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/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/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/>
        </w:tc>
      </w:tr>
      <w:tr w:rsidR="00000000"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Руководитель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________________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  <w:u w:val="single"/>
              </w:rPr>
              <w:t>Голованов Михаил Леонидович</w:t>
            </w:r>
          </w:p>
        </w:tc>
      </w:tr>
      <w:tr w:rsidR="00000000">
        <w:trPr>
          <w:trHeight w:val="280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(расшифровка подписи)</w:t>
            </w:r>
          </w:p>
        </w:tc>
      </w:tr>
      <w:tr w:rsidR="00000000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281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Руководитель планово-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________________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281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экономической службы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(расшифровка подписи)</w:t>
            </w:r>
          </w:p>
        </w:tc>
      </w:tr>
      <w:tr w:rsidR="00000000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281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Главный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____</w:t>
            </w:r>
            <w:r>
              <w:rPr>
                <w:rFonts w:ascii="Times New Roman" w:eastAsia="Times New Roman" w:hAnsi="Times New Roman"/>
                <w:sz w:val="20"/>
              </w:rPr>
              <w:t>____________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  <w:u w:val="single"/>
              </w:rPr>
              <w:t>Безрукова Альбина Леонидовна</w:t>
            </w:r>
          </w:p>
        </w:tc>
      </w:tr>
      <w:tr w:rsidR="00000000">
        <w:trPr>
          <w:trHeight w:val="281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бухгалтер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(расшифровка подписи)</w:t>
            </w:r>
          </w:p>
        </w:tc>
      </w:tr>
      <w:tr w:rsidR="00000000">
        <w:trPr>
          <w:trHeight w:val="449"/>
        </w:trPr>
        <w:tc>
          <w:tcPr>
            <w:tcW w:w="27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</w:tr>
    </w:tbl>
    <w:p w:rsidR="00000000" w:rsidRDefault="007E5E32">
      <w:pPr>
        <w:rPr>
          <w:vanish/>
        </w:rPr>
      </w:pPr>
    </w:p>
    <w:tbl>
      <w:tblPr>
        <w:tblStyle w:val="NormalTable"/>
        <w:tblW w:w="972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7466"/>
        <w:gridCol w:w="881"/>
        <w:gridCol w:w="1139"/>
        <w:gridCol w:w="234"/>
      </w:tblGrid>
      <w:tr w:rsidR="00000000">
        <w:trPr>
          <w:trHeight w:val="240"/>
        </w:trPr>
        <w:tc>
          <w:tcPr>
            <w:tcW w:w="7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Централизованная бухгалтерия</w:t>
            </w:r>
          </w:p>
        </w:tc>
        <w:tc>
          <w:tcPr>
            <w:tcW w:w="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282"/>
        </w:trPr>
        <w:tc>
          <w:tcPr>
            <w:tcW w:w="7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ИНН</w:t>
            </w:r>
          </w:p>
        </w:tc>
        <w:tc>
          <w:tcPr>
            <w:tcW w:w="1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300"/>
        </w:trPr>
        <w:tc>
          <w:tcPr>
            <w:tcW w:w="7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5"/>
              </w:rPr>
              <w:t>(наименование, местонахождение)</w:t>
            </w:r>
          </w:p>
        </w:tc>
        <w:tc>
          <w:tcPr>
            <w:tcW w:w="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КПП</w:t>
            </w:r>
          </w:p>
        </w:tc>
        <w:tc>
          <w:tcPr>
            <w:tcW w:w="10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240"/>
        </w:trPr>
        <w:tc>
          <w:tcPr>
            <w:tcW w:w="7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</w:tr>
    </w:tbl>
    <w:p w:rsidR="00000000" w:rsidRDefault="007E5E32">
      <w:pPr>
        <w:rPr>
          <w:vanish/>
        </w:rPr>
      </w:pPr>
    </w:p>
    <w:tbl>
      <w:tblPr>
        <w:tblStyle w:val="NormalTable"/>
        <w:tblW w:w="9600" w:type="dxa"/>
        <w:tblCellSpacing w:w="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2535"/>
        <w:gridCol w:w="2520"/>
        <w:gridCol w:w="1980"/>
        <w:gridCol w:w="2565"/>
      </w:tblGrid>
      <w:tr w:rsidR="00000000">
        <w:trPr>
          <w:trHeight w:val="75"/>
          <w:tblCellSpacing w:w="15" w:type="dxa"/>
        </w:trPr>
        <w:tc>
          <w:tcPr>
            <w:tcW w:w="24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Руководитель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8"/>
              </w:rPr>
            </w:pPr>
          </w:p>
        </w:tc>
        <w:tc>
          <w:tcPr>
            <w:tcW w:w="19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___________________</w:t>
            </w:r>
          </w:p>
        </w:tc>
        <w:tc>
          <w:tcPr>
            <w:tcW w:w="252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8"/>
              </w:rPr>
            </w:pPr>
          </w:p>
        </w:tc>
      </w:tr>
      <w:tr w:rsidR="00000000">
        <w:trPr>
          <w:trHeight w:val="195"/>
          <w:tblCellSpacing w:w="15" w:type="dxa"/>
        </w:trPr>
        <w:tc>
          <w:tcPr>
            <w:tcW w:w="24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(уполномоченное лицо)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(должность)</w:t>
            </w:r>
          </w:p>
        </w:tc>
        <w:tc>
          <w:tcPr>
            <w:tcW w:w="19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(подп</w:t>
            </w:r>
            <w:r>
              <w:rPr>
                <w:rFonts w:ascii="Times New Roman" w:eastAsia="Times New Roman" w:hAnsi="Times New Roman"/>
                <w:sz w:val="20"/>
              </w:rPr>
              <w:t xml:space="preserve">ись) </w:t>
            </w:r>
          </w:p>
        </w:tc>
        <w:tc>
          <w:tcPr>
            <w:tcW w:w="252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(расшифровка подписи)</w:t>
            </w:r>
          </w:p>
        </w:tc>
      </w:tr>
    </w:tbl>
    <w:p w:rsidR="00000000" w:rsidRDefault="007E5E32">
      <w:pPr>
        <w:rPr>
          <w:vanish/>
        </w:rPr>
      </w:pPr>
    </w:p>
    <w:tbl>
      <w:tblPr>
        <w:tblStyle w:val="NormalTable"/>
        <w:tblW w:w="10587" w:type="dxa"/>
        <w:tblCellSpacing w:w="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1213"/>
        <w:gridCol w:w="3053"/>
        <w:gridCol w:w="2258"/>
        <w:gridCol w:w="2112"/>
        <w:gridCol w:w="1951"/>
      </w:tblGrid>
      <w:tr w:rsidR="00000000">
        <w:trPr>
          <w:trHeight w:val="343"/>
          <w:tblCellSpacing w:w="15" w:type="dxa"/>
        </w:trPr>
        <w:tc>
          <w:tcPr>
            <w:tcW w:w="11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30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222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90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343"/>
          <w:tblCellSpacing w:w="15" w:type="dxa"/>
        </w:trPr>
        <w:tc>
          <w:tcPr>
            <w:tcW w:w="11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Исполнитель</w:t>
            </w:r>
          </w:p>
        </w:tc>
        <w:tc>
          <w:tcPr>
            <w:tcW w:w="30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222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ind w:left="-232" w:firstLine="232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_________________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190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</w:tr>
      <w:tr w:rsidR="00000000">
        <w:trPr>
          <w:trHeight w:val="340"/>
          <w:tblCellSpacing w:w="15" w:type="dxa"/>
        </w:trPr>
        <w:tc>
          <w:tcPr>
            <w:tcW w:w="11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sz w:val="24"/>
              </w:rPr>
            </w:pPr>
          </w:p>
        </w:tc>
        <w:tc>
          <w:tcPr>
            <w:tcW w:w="30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(должность)</w:t>
            </w:r>
          </w:p>
        </w:tc>
        <w:tc>
          <w:tcPr>
            <w:tcW w:w="222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(расшифровка подписи)</w:t>
            </w:r>
          </w:p>
        </w:tc>
        <w:tc>
          <w:tcPr>
            <w:tcW w:w="190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(телефон, e-mail)</w:t>
            </w:r>
          </w:p>
        </w:tc>
      </w:tr>
      <w:tr w:rsidR="00000000">
        <w:trPr>
          <w:tblCellSpacing w:w="15" w:type="dxa"/>
        </w:trPr>
        <w:tc>
          <w:tcPr>
            <w:tcW w:w="10527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/>
        </w:tc>
      </w:tr>
      <w:tr w:rsidR="00000000">
        <w:trPr>
          <w:tblCellSpacing w:w="15" w:type="dxa"/>
        </w:trPr>
        <w:tc>
          <w:tcPr>
            <w:tcW w:w="10527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Default="007E5E3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"_____" _________________ 20 ____ г.</w:t>
            </w:r>
          </w:p>
        </w:tc>
      </w:tr>
    </w:tbl>
    <w:p w:rsidR="007E5E32" w:rsidRDefault="007E5E32">
      <w:r>
        <w:rPr>
          <w:rFonts w:ascii="Times New Roman" w:eastAsia="Times New Roman" w:hAnsi="Times New Roman"/>
          <w:sz w:val="24"/>
        </w:rPr>
        <w:br/>
      </w:r>
    </w:p>
    <w:sectPr w:rsidR="007E5E32">
      <w:pgSz w:w="12240" w:h="15840"/>
      <w:pgMar w:top="1133" w:right="850" w:bottom="1133" w:left="17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4F35"/>
    <w:multiLevelType w:val="multilevel"/>
    <w:tmpl w:val="028D878F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0904A601"/>
    <w:multiLevelType w:val="multilevel"/>
    <w:tmpl w:val="02F9C4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090FA7C6"/>
    <w:multiLevelType w:val="multilevel"/>
    <w:tmpl w:val="02C7E4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2B986AAA"/>
    <w:multiLevelType w:val="multilevel"/>
    <w:tmpl w:val="01070777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>
    <w:nsid w:val="4916529E"/>
    <w:multiLevelType w:val="multilevel"/>
    <w:tmpl w:val="013F433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70E180ED"/>
    <w:multiLevelType w:val="multilevel"/>
    <w:tmpl w:val="03395CC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791E0369"/>
    <w:multiLevelType w:val="multilevel"/>
    <w:tmpl w:val="01044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</w:compat>
  <w:rsids>
    <w:rsidRoot w:val="009361F6"/>
    <w:rsid w:val="007E5E32"/>
    <w:rsid w:val="00936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black" strokecolor="black" shadowcolor="black" extrusioncolor="black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2"/>
    </w:rPr>
  </w:style>
  <w:style w:type="character" w:default="1" w:styleId="a0">
    <w:name w:val="Default Paragraph Font"/>
    <w:rPr>
      <w:sz w:val="22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character" w:customStyle="1" w:styleId="LineNumber">
    <w:name w:val="Line Number"/>
    <w:basedOn w:val="a0"/>
  </w:style>
  <w:style w:type="character" w:customStyle="1" w:styleId="Hyperlink">
    <w:name w:val="Hyperlink"/>
    <w:rPr>
      <w:color w:val="0000FF"/>
      <w:u w:val="single"/>
    </w:rPr>
  </w:style>
  <w:style w:type="table" w:customStyle="1" w:styleId="NormalTable">
    <w:name w:val="Normal Table"/>
    <w:rPr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3503</Words>
  <Characters>19969</Characters>
  <Application>Microsoft Office Word</Application>
  <DocSecurity>0</DocSecurity>
  <Lines>166</Lines>
  <Paragraphs>46</Paragraphs>
  <ScaleCrop>false</ScaleCrop>
  <Company/>
  <LinksUpToDate>false</LinksUpToDate>
  <CharactersWithSpaces>23426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Павлюкова Оксана Валерьевна</dc:creator>
  <cp:lastModifiedBy>Павлюкова Оксана Валерьевна</cp:lastModifiedBy>
  <cp:revision>2</cp:revision>
  <dcterms:created xsi:type="dcterms:W3CDTF">2019-03-28T01:49:00Z</dcterms:created>
  <dcterms:modified xsi:type="dcterms:W3CDTF">2019-03-28T01:49:00Z</dcterms:modified>
</cp:coreProperties>
</file>