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NormalTable"/>
        <w:tblW w:w="956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6952"/>
        <w:gridCol w:w="363"/>
        <w:gridCol w:w="925"/>
        <w:gridCol w:w="1320"/>
      </w:tblGrid>
      <w:tr w:rsidR="00000000">
        <w:trPr>
          <w:trHeight w:val="27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 CYR" w:eastAsia="Arial CYR" w:hAnsi="Arial CYR"/>
                <w:b/>
                <w:sz w:val="20"/>
              </w:rPr>
              <w:t>ПОЯСНИТЕЛЬНАЯ ЗАПИСКА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</w:tr>
      <w:tr w:rsidR="00000000">
        <w:trPr>
          <w:trHeight w:val="25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КОДЫ</w:t>
            </w:r>
          </w:p>
        </w:tc>
      </w:tr>
      <w:tr w:rsidR="00000000">
        <w:trPr>
          <w:trHeight w:val="282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Форма по ОКУД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0503160</w:t>
            </w:r>
          </w:p>
        </w:tc>
      </w:tr>
      <w:tr w:rsidR="00000000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на 1 января 2019 г.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Дата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01.01.2019</w:t>
            </w:r>
          </w:p>
        </w:tc>
      </w:tr>
      <w:tr w:rsidR="00000000">
        <w:trPr>
          <w:trHeight w:val="30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Главный распорядитель, распорядитель,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</w:tr>
      <w:tr w:rsidR="00000000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 xml:space="preserve">получатель бюджетных средств, главный администратор,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</w:tr>
      <w:tr w:rsidR="00000000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администратор доходов бюджета,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spacing w:line="195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spacing w:line="195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77268776</w:t>
            </w:r>
          </w:p>
        </w:tc>
      </w:tr>
      <w:tr w:rsidR="00000000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главный ад</w:t>
            </w:r>
            <w:r>
              <w:rPr>
                <w:rFonts w:ascii="Courier New" w:eastAsia="Courier New" w:hAnsi="Courier New"/>
                <w:b/>
                <w:sz w:val="16"/>
              </w:rPr>
              <w:t xml:space="preserve">министратор, администратор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</w:tr>
      <w:tr w:rsidR="00000000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источников финансирования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0"/>
              </w:rPr>
            </w:pPr>
          </w:p>
        </w:tc>
      </w:tr>
      <w:tr w:rsidR="00000000"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 xml:space="preserve">дефицита бюджета </w:t>
            </w:r>
            <w:r>
              <w:rPr>
                <w:rFonts w:ascii="Courier New" w:eastAsia="Courier New" w:hAnsi="Courier New"/>
                <w:b/>
                <w:sz w:val="16"/>
                <w:u w:val="single"/>
              </w:rPr>
              <w:t xml:space="preserve">Муниципальное бюджетное общеобразовательное учреждение средняя общеобразовательная школа городского поселения "Рабочий поселок Октябрьский" </w:t>
            </w:r>
            <w:proofErr w:type="spellStart"/>
            <w:r>
              <w:rPr>
                <w:rFonts w:ascii="Courier New" w:eastAsia="Courier New" w:hAnsi="Courier New"/>
                <w:b/>
                <w:sz w:val="16"/>
                <w:u w:val="single"/>
              </w:rPr>
              <w:t>Ванинского</w:t>
            </w:r>
            <w:proofErr w:type="spellEnd"/>
            <w:r>
              <w:rPr>
                <w:rFonts w:ascii="Courier New" w:eastAsia="Courier New" w:hAnsi="Courier New"/>
                <w:b/>
                <w:sz w:val="16"/>
                <w:u w:val="single"/>
              </w:rPr>
              <w:t xml:space="preserve"> </w:t>
            </w:r>
            <w:proofErr w:type="spellStart"/>
            <w:r>
              <w:rPr>
                <w:rFonts w:ascii="Courier New" w:eastAsia="Courier New" w:hAnsi="Courier New"/>
                <w:b/>
                <w:sz w:val="16"/>
                <w:u w:val="single"/>
              </w:rPr>
              <w:t>мунципального</w:t>
            </w:r>
            <w:proofErr w:type="spellEnd"/>
            <w:r>
              <w:rPr>
                <w:rFonts w:ascii="Courier New" w:eastAsia="Courier New" w:hAnsi="Courier New"/>
                <w:b/>
                <w:sz w:val="16"/>
                <w:u w:val="single"/>
              </w:rPr>
              <w:t xml:space="preserve"> района Хабар</w:t>
            </w:r>
            <w:r>
              <w:rPr>
                <w:rFonts w:ascii="Courier New" w:eastAsia="Courier New" w:hAnsi="Courier New"/>
                <w:b/>
                <w:sz w:val="16"/>
                <w:u w:val="single"/>
              </w:rPr>
              <w:t>овского края</w:t>
            </w:r>
            <w:r>
              <w:rPr>
                <w:rFonts w:ascii="Courier New" w:eastAsia="Courier New" w:hAnsi="Courier New"/>
                <w:b/>
                <w:sz w:val="16"/>
              </w:rPr>
              <w:t xml:space="preserve">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Глава по БК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6"/>
              </w:rPr>
              <w:t>803</w:t>
            </w:r>
          </w:p>
        </w:tc>
      </w:tr>
      <w:tr w:rsidR="00000000">
        <w:trPr>
          <w:trHeight w:val="27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 xml:space="preserve">Наименование бюджета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</w:tr>
      <w:tr w:rsidR="00000000">
        <w:trPr>
          <w:trHeight w:val="21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 xml:space="preserve">(публично-правового образования) </w:t>
            </w:r>
            <w:r>
              <w:rPr>
                <w:rFonts w:ascii="Courier New" w:eastAsia="Courier New" w:hAnsi="Courier New"/>
                <w:b/>
                <w:sz w:val="16"/>
                <w:u w:val="single"/>
              </w:rPr>
              <w:t xml:space="preserve">Местный бюджет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spacing w:line="21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spacing w:line="21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sz w:val="15"/>
              </w:rPr>
              <w:t>08612159</w:t>
            </w:r>
          </w:p>
        </w:tc>
      </w:tr>
      <w:tr w:rsidR="00000000">
        <w:trPr>
          <w:trHeight w:val="31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Периодичность: месячная, квартальная, годовая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</w:tr>
      <w:tr w:rsidR="00000000">
        <w:trPr>
          <w:trHeight w:val="282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Единица измерения: руб.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383</w:t>
            </w:r>
          </w:p>
        </w:tc>
      </w:tr>
      <w:tr w:rsidR="00000000">
        <w:trPr>
          <w:trHeight w:val="282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0000" w:rsidRDefault="00C951AE">
            <w:pPr>
              <w:rPr>
                <w:sz w:val="24"/>
              </w:rPr>
            </w:pPr>
          </w:p>
        </w:tc>
      </w:tr>
    </w:tbl>
    <w:p w:rsidR="00000000" w:rsidRDefault="00C951AE">
      <w:pPr>
        <w:ind w:firstLine="720"/>
        <w:jc w:val="both"/>
        <w:rPr>
          <w:rFonts w:ascii="Courier New" w:eastAsia="Courier New" w:hAnsi="Courier New"/>
        </w:rPr>
      </w:pPr>
      <w:proofErr w:type="gramStart"/>
      <w:r>
        <w:rPr>
          <w:rFonts w:ascii="Times New Roman" w:eastAsia="Times New Roman" w:hAnsi="Times New Roman"/>
          <w:color w:val="000000"/>
          <w:sz w:val="28"/>
        </w:rPr>
        <w:t xml:space="preserve">МБОУ СОШ п. Октябрьский </w:t>
      </w:r>
      <w:r>
        <w:rPr>
          <w:rFonts w:ascii="Times New Roman" w:eastAsia="Times New Roman" w:hAnsi="Times New Roman"/>
          <w:color w:val="00000A"/>
          <w:sz w:val="28"/>
        </w:rPr>
        <w:t>наделено полно</w:t>
      </w:r>
      <w:r>
        <w:rPr>
          <w:rFonts w:ascii="Times New Roman" w:eastAsia="Times New Roman" w:hAnsi="Times New Roman"/>
          <w:color w:val="00000A"/>
          <w:sz w:val="28"/>
        </w:rPr>
        <w:t xml:space="preserve">мочиями по исполнению публичных нормативных обязательств перед физическим лицом, согласно приказа Управления образования №529/1 от 29.12.2012 года «Об осуществлении бюджетными учреждениями, подведомственными управлению образования администрации </w:t>
      </w:r>
      <w:proofErr w:type="spellStart"/>
      <w:r>
        <w:rPr>
          <w:rFonts w:ascii="Times New Roman" w:eastAsia="Times New Roman" w:hAnsi="Times New Roman"/>
          <w:color w:val="00000A"/>
          <w:sz w:val="28"/>
        </w:rPr>
        <w:t>Ванинского</w:t>
      </w:r>
      <w:proofErr w:type="spellEnd"/>
      <w:r>
        <w:rPr>
          <w:rFonts w:ascii="Times New Roman" w:eastAsia="Times New Roman" w:hAnsi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/>
          <w:color w:val="00000A"/>
          <w:sz w:val="28"/>
        </w:rPr>
        <w:t xml:space="preserve">муниципального района Хабаровского края, полномочий управления образования администрации </w:t>
      </w:r>
      <w:proofErr w:type="spellStart"/>
      <w:r>
        <w:rPr>
          <w:rFonts w:ascii="Times New Roman" w:eastAsia="Times New Roman" w:hAnsi="Times New Roman"/>
          <w:color w:val="00000A"/>
          <w:sz w:val="28"/>
        </w:rPr>
        <w:t>Ванинского</w:t>
      </w:r>
      <w:proofErr w:type="spellEnd"/>
      <w:r>
        <w:rPr>
          <w:rFonts w:ascii="Times New Roman" w:eastAsia="Times New Roman" w:hAnsi="Times New Roman"/>
          <w:color w:val="00000A"/>
          <w:sz w:val="28"/>
        </w:rPr>
        <w:t xml:space="preserve"> муниципального района Хабаровского края по исполнению публичных обязательств перед физическим лицом, подлежащих исполнению в денежной форме» по утвержденном</w:t>
      </w:r>
      <w:r>
        <w:rPr>
          <w:rFonts w:ascii="Times New Roman" w:eastAsia="Times New Roman" w:hAnsi="Times New Roman"/>
          <w:color w:val="00000A"/>
          <w:sz w:val="28"/>
        </w:rPr>
        <w:t>у перечню.</w:t>
      </w:r>
      <w:proofErr w:type="gramEnd"/>
    </w:p>
    <w:p w:rsidR="00000000" w:rsidRDefault="00C951AE" w:rsidP="00C951AE">
      <w:pPr>
        <w:ind w:firstLine="7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A"/>
          <w:sz w:val="28"/>
        </w:rPr>
        <w:t xml:space="preserve">Операции по данным публичным обязательствам отражаются на лицевых счетах, открытых в Финансовом управлении администрации </w:t>
      </w:r>
      <w:proofErr w:type="spellStart"/>
      <w:r>
        <w:rPr>
          <w:rFonts w:ascii="Times New Roman" w:eastAsia="Times New Roman" w:hAnsi="Times New Roman"/>
          <w:color w:val="00000A"/>
          <w:sz w:val="28"/>
        </w:rPr>
        <w:t>Ванинского</w:t>
      </w:r>
      <w:proofErr w:type="spellEnd"/>
      <w:r>
        <w:rPr>
          <w:rFonts w:ascii="Times New Roman" w:eastAsia="Times New Roman" w:hAnsi="Times New Roman"/>
          <w:color w:val="00000A"/>
          <w:sz w:val="28"/>
        </w:rPr>
        <w:t xml:space="preserve"> муниципального района Хабаровского края.</w:t>
      </w:r>
    </w:p>
    <w:p w:rsidR="00000000" w:rsidRDefault="00C951AE">
      <w:pPr>
        <w:ind w:firstLine="72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A"/>
          <w:sz w:val="28"/>
        </w:rPr>
        <w:t>Отчет об исполнении бюджета главного распорядителя, распорядителя, получ</w:t>
      </w:r>
      <w:r>
        <w:rPr>
          <w:rFonts w:ascii="Times New Roman" w:eastAsia="Times New Roman" w:hAnsi="Times New Roman"/>
          <w:color w:val="00000A"/>
          <w:sz w:val="28"/>
        </w:rPr>
        <w:t xml:space="preserve">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(ф.0503127). </w:t>
      </w:r>
      <w:r>
        <w:rPr>
          <w:rFonts w:ascii="Times New Roman" w:eastAsia="Times New Roman" w:hAnsi="Times New Roman"/>
          <w:color w:val="000000"/>
          <w:sz w:val="28"/>
        </w:rPr>
        <w:t>Выплаты по публичным обязательствам составили 4 743 152,20 руб.</w:t>
      </w:r>
    </w:p>
    <w:p w:rsidR="00000000" w:rsidRDefault="00C951AE">
      <w:pPr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Отчет об испол</w:t>
      </w:r>
      <w:r>
        <w:rPr>
          <w:rFonts w:ascii="Times New Roman" w:eastAsia="Times New Roman" w:hAnsi="Times New Roman"/>
          <w:b/>
          <w:color w:val="000000"/>
          <w:sz w:val="28"/>
        </w:rPr>
        <w:t>нении бюджета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</w:rPr>
        <w:t>(ф. 0503164)</w:t>
      </w:r>
    </w:p>
    <w:p w:rsidR="00000000" w:rsidRDefault="00C951AE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По критериям, определенным финансовым управлением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Ванинского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 xml:space="preserve"> муниципального района, показатели отражаются в ф. 0503164 процентом исполнения менее 95% за год. МБОУ СОШ п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.О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>ктябрьский за 2018 год освоило бюджетную смет</w:t>
      </w:r>
      <w:r>
        <w:rPr>
          <w:rFonts w:ascii="Times New Roman" w:eastAsia="Times New Roman" w:hAnsi="Times New Roman"/>
          <w:color w:val="000000"/>
          <w:sz w:val="28"/>
        </w:rPr>
        <w:t xml:space="preserve">у на 100%. </w:t>
      </w:r>
    </w:p>
    <w:p w:rsidR="00000000" w:rsidRDefault="00C951AE">
      <w:pPr>
        <w:ind w:firstLine="700"/>
        <w:jc w:val="center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Сведения по дебиторской и кредиторской задолженности (ф. 0503169)</w:t>
      </w:r>
    </w:p>
    <w:p w:rsidR="00000000" w:rsidRDefault="00C951AE">
      <w:pPr>
        <w:ind w:firstLine="700"/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По состоянию на 01.01.2019 года по данным бухгалтерского баланса имеется кредиторская задолженность по компенсации ЖКУ педагогическим работникам в сумме 340 009,06 рублей.</w:t>
      </w:r>
    </w:p>
    <w:p w:rsidR="00000000" w:rsidRDefault="00C951AE">
      <w:pPr>
        <w:jc w:val="both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b/>
          <w:color w:val="000000"/>
          <w:sz w:val="28"/>
        </w:rPr>
        <w:t>В отче</w:t>
      </w:r>
      <w:r>
        <w:rPr>
          <w:rFonts w:ascii="Times New Roman" w:eastAsia="Times New Roman" w:hAnsi="Times New Roman"/>
          <w:b/>
          <w:color w:val="000000"/>
          <w:sz w:val="28"/>
        </w:rPr>
        <w:t>тности отсутствуют числовые показатели по следующим формам: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- 0503125G Справка по консолидируемым расчётам (годовая);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- 0503161G Сведения о количестве подведомственных участников бюджетного процесса, учреждений и государственных (муниципальных) унитарных п</w:t>
      </w:r>
      <w:r>
        <w:rPr>
          <w:rFonts w:ascii="Times New Roman" w:eastAsia="Times New Roman" w:hAnsi="Times New Roman"/>
          <w:color w:val="000000"/>
          <w:sz w:val="28"/>
        </w:rPr>
        <w:t>редприятий;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- 0503162G Сведения о результатах деятельности;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- 0503163G Сведения об изменениях бюджетной росписи главного распорядителя бюджетных средств;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- 0503166G Сведения об исполнении мероприятий в рамках целевых программ;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- 0503167G Сведения о целевых</w:t>
      </w:r>
      <w:r>
        <w:rPr>
          <w:rFonts w:ascii="Times New Roman" w:eastAsia="Times New Roman" w:hAnsi="Times New Roman"/>
          <w:color w:val="000000"/>
          <w:sz w:val="28"/>
        </w:rPr>
        <w:t xml:space="preserve"> иностранных кредитах;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- 0503168G_БД Сведения о движении нефинансовых активов (бюджетная деятельность);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- 0503160G_т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1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Сведения об основных направлениях деятельности;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- 0503160G_т3 Сведения об исполнении текстовых статей закона (решения) о бюджете;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</w:t>
      </w:r>
      <w:r>
        <w:rPr>
          <w:rFonts w:ascii="Times New Roman" w:eastAsia="Times New Roman" w:hAnsi="Times New Roman"/>
          <w:color w:val="000000"/>
          <w:sz w:val="28"/>
        </w:rPr>
        <w:t>0G_т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4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Сведения об особенностях ведения бюджетного учета;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- 0503160G_т5 Сведения о результатах мероприятий внутреннего контроля;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- 0503160G_т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6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Сведения о проведении инвентаризации;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- 0503160G_т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7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Сведения о результатах внешнего государственного (муниципально</w:t>
      </w:r>
      <w:r>
        <w:rPr>
          <w:rFonts w:ascii="Times New Roman" w:eastAsia="Times New Roman" w:hAnsi="Times New Roman"/>
          <w:color w:val="000000"/>
          <w:sz w:val="28"/>
        </w:rPr>
        <w:t>го) финансового контроля;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- 0503171G Сведения о финансовых вложениях получателя бюджетных средств, администратора источников финансирования дефицита бюджета;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- 0503172G Сведения о государственном (муниципальном) долге, предоставленных бюджетных кредитах;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</w:t>
      </w:r>
      <w:r>
        <w:rPr>
          <w:rFonts w:ascii="Times New Roman" w:eastAsia="Times New Roman" w:hAnsi="Times New Roman"/>
          <w:color w:val="000000"/>
          <w:sz w:val="28"/>
        </w:rPr>
        <w:t xml:space="preserve"> 0503173G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_Б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Сведения об изменении остатков валюты баланса (бюджетная деятельность);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- 0503174G Сведения о доходах бюджета от перечисления части прибыли (</w:t>
      </w:r>
      <w:proofErr w:type="spellStart"/>
      <w:r>
        <w:rPr>
          <w:rFonts w:ascii="Times New Roman" w:eastAsia="Times New Roman" w:hAnsi="Times New Roman"/>
          <w:color w:val="000000"/>
          <w:sz w:val="28"/>
        </w:rPr>
        <w:t>дивидентов</w:t>
      </w:r>
      <w:proofErr w:type="spellEnd"/>
      <w:r>
        <w:rPr>
          <w:rFonts w:ascii="Times New Roman" w:eastAsia="Times New Roman" w:hAnsi="Times New Roman"/>
          <w:color w:val="000000"/>
          <w:sz w:val="28"/>
        </w:rPr>
        <w:t>) государственных (муниципальных) унитарных предприятий, иных организаций с государственным у</w:t>
      </w:r>
      <w:r>
        <w:rPr>
          <w:rFonts w:ascii="Times New Roman" w:eastAsia="Times New Roman" w:hAnsi="Times New Roman"/>
          <w:color w:val="000000"/>
          <w:sz w:val="28"/>
        </w:rPr>
        <w:t>частием в капитале;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- 0503175G Сведения о принятых и неисполненных обязательствах получателя бюджетных средств;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- 0503178G</w:t>
      </w:r>
      <w:proofErr w:type="gramStart"/>
      <w:r>
        <w:rPr>
          <w:rFonts w:ascii="Times New Roman" w:eastAsia="Times New Roman" w:hAnsi="Times New Roman"/>
          <w:color w:val="000000"/>
          <w:sz w:val="28"/>
        </w:rPr>
        <w:t>_Б</w:t>
      </w:r>
      <w:proofErr w:type="gramEnd"/>
      <w:r>
        <w:rPr>
          <w:rFonts w:ascii="Times New Roman" w:eastAsia="Times New Roman" w:hAnsi="Times New Roman"/>
          <w:color w:val="000000"/>
          <w:sz w:val="28"/>
        </w:rPr>
        <w:t xml:space="preserve"> Сведения об остатках денежных средств на счетах получателя бюджетных средства (бюджетная);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- 0503190G Сведения об объектах незаверш</w:t>
      </w:r>
      <w:r>
        <w:rPr>
          <w:rFonts w:ascii="Times New Roman" w:eastAsia="Times New Roman" w:hAnsi="Times New Roman"/>
          <w:color w:val="000000"/>
          <w:sz w:val="28"/>
        </w:rPr>
        <w:t>енного строительства, вложениях в объекты недвижимого имущества;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- 0503191 Расшифровка дебиторской задолженности по расчетам по выданным авансам;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- 0503192 Расшифровка дебиторской задолженности по контрактным обязательствам;</w:t>
      </w:r>
    </w:p>
    <w:p w:rsidR="00000000" w:rsidRDefault="00C951AE">
      <w:pPr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color w:val="000000"/>
          <w:sz w:val="28"/>
        </w:rPr>
        <w:t>- 0503193 Расшифровка дебиторск</w:t>
      </w:r>
      <w:r>
        <w:rPr>
          <w:rFonts w:ascii="Times New Roman" w:eastAsia="Times New Roman" w:hAnsi="Times New Roman"/>
          <w:color w:val="000000"/>
          <w:sz w:val="28"/>
        </w:rPr>
        <w:t>ой задолженности по субсидиям организациям;</w:t>
      </w:r>
    </w:p>
    <w:p w:rsidR="00000000" w:rsidRDefault="00C951AE">
      <w:pPr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- 0503296 Сведения об исполнении судебных решений по денежным обязательствам бюджета.</w:t>
      </w:r>
    </w:p>
    <w:tbl>
      <w:tblPr>
        <w:tblW w:w="9510" w:type="dxa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3414"/>
        <w:gridCol w:w="2040"/>
        <w:gridCol w:w="4056"/>
      </w:tblGrid>
      <w:tr w:rsidR="00C951AE" w:rsidRPr="003C631D" w:rsidTr="00017264">
        <w:tc>
          <w:tcPr>
            <w:tcW w:w="3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lastRenderedPageBreak/>
              <w:t>Руководитель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ind w:left="-108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________________</w:t>
            </w:r>
          </w:p>
        </w:tc>
        <w:tc>
          <w:tcPr>
            <w:tcW w:w="4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>Широкова Оксана Викторовна</w:t>
            </w:r>
          </w:p>
        </w:tc>
      </w:tr>
      <w:tr w:rsidR="00C951AE" w:rsidRPr="003C631D" w:rsidTr="00017264">
        <w:trPr>
          <w:trHeight w:val="280"/>
        </w:trPr>
        <w:tc>
          <w:tcPr>
            <w:tcW w:w="3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51AE" w:rsidRPr="00F23413" w:rsidRDefault="00C951AE" w:rsidP="00017264">
            <w:pPr>
              <w:rPr>
                <w:w w:val="90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(подпись)</w:t>
            </w:r>
          </w:p>
        </w:tc>
        <w:tc>
          <w:tcPr>
            <w:tcW w:w="4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(расшифровка подписи)</w:t>
            </w:r>
          </w:p>
        </w:tc>
      </w:tr>
      <w:tr w:rsidR="00C951AE" w:rsidRPr="003C631D" w:rsidTr="00017264">
        <w:trPr>
          <w:trHeight w:val="281"/>
        </w:trPr>
        <w:tc>
          <w:tcPr>
            <w:tcW w:w="951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51AE" w:rsidRPr="00F23413" w:rsidRDefault="00C951AE" w:rsidP="00017264">
            <w:pPr>
              <w:rPr>
                <w:w w:val="90"/>
                <w:sz w:val="24"/>
                <w:szCs w:val="24"/>
              </w:rPr>
            </w:pPr>
          </w:p>
        </w:tc>
      </w:tr>
      <w:tr w:rsidR="00C951AE" w:rsidRPr="003C631D" w:rsidTr="00017264">
        <w:trPr>
          <w:trHeight w:val="281"/>
        </w:trPr>
        <w:tc>
          <w:tcPr>
            <w:tcW w:w="3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Директор МКУ «ЦБУО»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ind w:left="-249"/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________________</w:t>
            </w:r>
          </w:p>
        </w:tc>
        <w:tc>
          <w:tcPr>
            <w:tcW w:w="4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rPr>
                <w:rFonts w:ascii="Times New Roman" w:hAnsi="Times New Roman" w:cs="Times New Roman"/>
                <w:w w:val="90"/>
                <w:sz w:val="24"/>
                <w:szCs w:val="24"/>
                <w:u w:val="single"/>
              </w:rPr>
            </w:pPr>
            <w:r w:rsidRPr="00F23413">
              <w:rPr>
                <w:rFonts w:ascii="Times New Roman" w:hAnsi="Times New Roman" w:cs="Times New Roman"/>
                <w:w w:val="90"/>
                <w:sz w:val="24"/>
                <w:szCs w:val="24"/>
                <w:u w:val="single"/>
              </w:rPr>
              <w:t>Андрющенко Маргарита Владимировна</w:t>
            </w:r>
          </w:p>
        </w:tc>
      </w:tr>
      <w:tr w:rsidR="00C951AE" w:rsidRPr="003C631D" w:rsidTr="00017264">
        <w:trPr>
          <w:trHeight w:val="281"/>
        </w:trPr>
        <w:tc>
          <w:tcPr>
            <w:tcW w:w="3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(подпись)</w:t>
            </w:r>
          </w:p>
        </w:tc>
        <w:tc>
          <w:tcPr>
            <w:tcW w:w="4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(расшифровка подписи)</w:t>
            </w:r>
          </w:p>
        </w:tc>
      </w:tr>
      <w:tr w:rsidR="00C951AE" w:rsidRPr="003C631D" w:rsidTr="00017264">
        <w:trPr>
          <w:trHeight w:val="281"/>
        </w:trPr>
        <w:tc>
          <w:tcPr>
            <w:tcW w:w="951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51AE" w:rsidRPr="00F23413" w:rsidRDefault="00C951AE" w:rsidP="00017264">
            <w:pPr>
              <w:rPr>
                <w:w w:val="90"/>
                <w:sz w:val="24"/>
                <w:szCs w:val="24"/>
              </w:rPr>
            </w:pPr>
          </w:p>
        </w:tc>
      </w:tr>
      <w:tr w:rsidR="00C951AE" w:rsidRPr="003C631D" w:rsidTr="00017264">
        <w:trPr>
          <w:trHeight w:val="281"/>
        </w:trPr>
        <w:tc>
          <w:tcPr>
            <w:tcW w:w="3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Главный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ind w:left="-249"/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________________</w:t>
            </w:r>
          </w:p>
        </w:tc>
        <w:tc>
          <w:tcPr>
            <w:tcW w:w="4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>Безрукова Альбина Леонидовна</w:t>
            </w:r>
          </w:p>
        </w:tc>
      </w:tr>
      <w:tr w:rsidR="00C951AE" w:rsidRPr="003C631D" w:rsidTr="00017264">
        <w:trPr>
          <w:trHeight w:val="281"/>
        </w:trPr>
        <w:tc>
          <w:tcPr>
            <w:tcW w:w="3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бухгалтер МКУ «ЦБУО»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(подпись)</w:t>
            </w:r>
          </w:p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</w:p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</w:p>
        </w:tc>
        <w:tc>
          <w:tcPr>
            <w:tcW w:w="4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(расшифровка подписи)</w:t>
            </w:r>
          </w:p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</w:p>
        </w:tc>
      </w:tr>
      <w:tr w:rsidR="00C951AE" w:rsidRPr="003C631D" w:rsidTr="00017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3414" w:type="dxa"/>
          </w:tcPr>
          <w:p w:rsidR="00C951AE" w:rsidRPr="00F23413" w:rsidRDefault="00C951AE" w:rsidP="00017264">
            <w:pP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Руководитель планово-</w:t>
            </w:r>
          </w:p>
        </w:tc>
        <w:tc>
          <w:tcPr>
            <w:tcW w:w="2040" w:type="dxa"/>
          </w:tcPr>
          <w:p w:rsidR="00C951AE" w:rsidRPr="00F23413" w:rsidRDefault="00C951AE" w:rsidP="00017264">
            <w:pPr>
              <w:ind w:left="-249"/>
              <w:jc w:val="center"/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________________</w:t>
            </w:r>
          </w:p>
        </w:tc>
        <w:tc>
          <w:tcPr>
            <w:tcW w:w="4056" w:type="dxa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u w:val="single"/>
              </w:rPr>
              <w:t>Красникова Светлана Константиновна</w:t>
            </w:r>
          </w:p>
        </w:tc>
      </w:tr>
      <w:tr w:rsidR="00C951AE" w:rsidRPr="003C631D" w:rsidTr="00017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80"/>
        </w:trPr>
        <w:tc>
          <w:tcPr>
            <w:tcW w:w="3414" w:type="dxa"/>
          </w:tcPr>
          <w:p w:rsidR="00C951AE" w:rsidRPr="00F23413" w:rsidRDefault="00C951AE" w:rsidP="00017264">
            <w:pPr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экономической службы</w:t>
            </w:r>
          </w:p>
        </w:tc>
        <w:tc>
          <w:tcPr>
            <w:tcW w:w="2040" w:type="dxa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(подпись)</w:t>
            </w:r>
          </w:p>
        </w:tc>
        <w:tc>
          <w:tcPr>
            <w:tcW w:w="4056" w:type="dxa"/>
          </w:tcPr>
          <w:p w:rsidR="00C951AE" w:rsidRPr="00F23413" w:rsidRDefault="00C951AE" w:rsidP="00017264">
            <w:pPr>
              <w:jc w:val="center"/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</w:pPr>
            <w:r w:rsidRPr="00F23413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(расшифровка подписи)</w:t>
            </w:r>
          </w:p>
        </w:tc>
      </w:tr>
    </w:tbl>
    <w:p w:rsidR="00C951AE" w:rsidRPr="00F23413" w:rsidRDefault="00C951AE" w:rsidP="00C951AE">
      <w:pPr>
        <w:rPr>
          <w:rFonts w:ascii="Times New Roman" w:hAnsi="Times New Roman" w:cs="Times New Roman"/>
          <w:w w:val="90"/>
          <w:sz w:val="24"/>
          <w:szCs w:val="24"/>
        </w:rPr>
      </w:pPr>
      <w:r w:rsidRPr="00F23413">
        <w:rPr>
          <w:rFonts w:ascii="Times New Roman" w:hAnsi="Times New Roman" w:cs="Times New Roman"/>
          <w:w w:val="90"/>
          <w:sz w:val="24"/>
          <w:szCs w:val="24"/>
        </w:rPr>
        <w:t xml:space="preserve">  МКУ «ЦБУО»</w:t>
      </w:r>
    </w:p>
    <w:p w:rsidR="00C951AE" w:rsidRPr="00F23413" w:rsidRDefault="00C951AE" w:rsidP="00C951AE">
      <w:pPr>
        <w:rPr>
          <w:rFonts w:ascii="Times New Roman" w:hAnsi="Times New Roman" w:cs="Times New Roman"/>
          <w:w w:val="90"/>
          <w:sz w:val="24"/>
          <w:szCs w:val="24"/>
        </w:rPr>
      </w:pPr>
    </w:p>
    <w:p w:rsidR="00C951AE" w:rsidRPr="00F23413" w:rsidRDefault="00C951AE" w:rsidP="00C951AE">
      <w:pPr>
        <w:rPr>
          <w:rFonts w:ascii="Times New Roman" w:hAnsi="Times New Roman" w:cs="Times New Roman"/>
          <w:w w:val="90"/>
          <w:sz w:val="24"/>
          <w:szCs w:val="24"/>
        </w:rPr>
      </w:pPr>
      <w:r w:rsidRPr="00F23413">
        <w:rPr>
          <w:rFonts w:ascii="Times New Roman" w:hAnsi="Times New Roman" w:cs="Times New Roman"/>
          <w:w w:val="90"/>
          <w:sz w:val="24"/>
          <w:szCs w:val="24"/>
        </w:rPr>
        <w:t>«24» января 2019 г.</w:t>
      </w:r>
    </w:p>
    <w:p w:rsidR="00C951AE" w:rsidRDefault="00C951AE">
      <w:pPr>
        <w:rPr>
          <w:rFonts w:ascii="Courier New" w:eastAsia="Courier New" w:hAnsi="Courier New"/>
        </w:rPr>
      </w:pPr>
    </w:p>
    <w:sectPr w:rsidR="00C951AE">
      <w:pgSz w:w="12240" w:h="15840"/>
      <w:pgMar w:top="1133" w:right="850" w:bottom="1133" w:left="17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</w:compat>
  <w:rsids>
    <w:rsidRoot w:val="00C951AE"/>
    <w:rsid w:val="00C95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black" strokecolor="black" shadowcolor="black" extrusioncolor="black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2"/>
    </w:rPr>
  </w:style>
  <w:style w:type="character" w:default="1" w:styleId="a0">
    <w:name w:val="Default Paragraph Font"/>
    <w:rPr>
      <w:sz w:val="22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character" w:customStyle="1" w:styleId="LineNumber">
    <w:name w:val="Line Number"/>
    <w:basedOn w:val="a0"/>
  </w:style>
  <w:style w:type="character" w:customStyle="1" w:styleId="Hyperlink">
    <w:name w:val="Hyperlink"/>
    <w:rPr>
      <w:color w:val="0000FF"/>
      <w:u w:val="single"/>
    </w:rPr>
  </w:style>
  <w:style w:type="table" w:customStyle="1" w:styleId="NormalTable">
    <w:name w:val="Normal Table"/>
    <w:rPr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Павлюкова Оксана Валерьевна</dc:creator>
  <cp:lastModifiedBy>Павлюкова Оксана Валерьевна</cp:lastModifiedBy>
  <cp:revision>2</cp:revision>
  <dcterms:created xsi:type="dcterms:W3CDTF">2019-03-19T00:33:00Z</dcterms:created>
  <dcterms:modified xsi:type="dcterms:W3CDTF">2019-03-19T00:33:00Z</dcterms:modified>
</cp:coreProperties>
</file>